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F246" w14:textId="77777777" w:rsidR="002273A0" w:rsidRPr="00FA1581" w:rsidRDefault="00606799" w:rsidP="00606799">
      <w:pPr>
        <w:spacing w:after="0" w:line="240" w:lineRule="auto"/>
        <w:jc w:val="center"/>
        <w:rPr>
          <w:rFonts w:ascii="Verdana" w:hAnsi="Verdana"/>
          <w:b/>
        </w:rPr>
      </w:pPr>
      <w:bookmarkStart w:id="0" w:name="_GoBack"/>
      <w:bookmarkEnd w:id="0"/>
      <w:r w:rsidRPr="00FA1581">
        <w:rPr>
          <w:rFonts w:ascii="Verdana" w:hAnsi="Verdana"/>
          <w:b/>
        </w:rPr>
        <w:t>Disability Task Force Proposal</w:t>
      </w:r>
    </w:p>
    <w:p w14:paraId="0E5D3E33" w14:textId="77777777" w:rsidR="00606799" w:rsidRPr="00FA1581" w:rsidRDefault="00606799" w:rsidP="00606799">
      <w:pPr>
        <w:spacing w:after="0" w:line="240" w:lineRule="auto"/>
        <w:jc w:val="center"/>
        <w:rPr>
          <w:rFonts w:ascii="Verdana" w:hAnsi="Verdana"/>
          <w:b/>
        </w:rPr>
      </w:pPr>
      <w:r w:rsidRPr="00FA1581">
        <w:rPr>
          <w:rFonts w:ascii="Verdana" w:hAnsi="Verdana"/>
          <w:b/>
        </w:rPr>
        <w:t xml:space="preserve">Submitted to Chief </w:t>
      </w:r>
      <w:r w:rsidR="00272B11" w:rsidRPr="00FA1581">
        <w:rPr>
          <w:rFonts w:ascii="Verdana" w:hAnsi="Verdana"/>
          <w:b/>
        </w:rPr>
        <w:t xml:space="preserve">W. </w:t>
      </w:r>
      <w:proofErr w:type="spellStart"/>
      <w:r w:rsidRPr="00FA1581">
        <w:rPr>
          <w:rFonts w:ascii="Verdana" w:hAnsi="Verdana"/>
          <w:b/>
        </w:rPr>
        <w:t>Nim</w:t>
      </w:r>
      <w:proofErr w:type="spellEnd"/>
      <w:r w:rsidRPr="00FA1581">
        <w:rPr>
          <w:rFonts w:ascii="Verdana" w:hAnsi="Verdana"/>
          <w:b/>
        </w:rPr>
        <w:t xml:space="preserve"> Kidd through </w:t>
      </w:r>
    </w:p>
    <w:p w14:paraId="2A27EB0B" w14:textId="77777777" w:rsidR="00606799" w:rsidRPr="00FA1581" w:rsidRDefault="00272B11" w:rsidP="00606799">
      <w:pPr>
        <w:spacing w:after="0" w:line="240" w:lineRule="auto"/>
        <w:jc w:val="center"/>
        <w:rPr>
          <w:rFonts w:ascii="Verdana" w:hAnsi="Verdana"/>
          <w:b/>
        </w:rPr>
      </w:pPr>
      <w:r w:rsidRPr="00FA1581">
        <w:rPr>
          <w:rFonts w:ascii="Verdana" w:hAnsi="Verdana"/>
          <w:b/>
        </w:rPr>
        <w:t>T</w:t>
      </w:r>
      <w:r w:rsidR="00606799" w:rsidRPr="00FA1581">
        <w:rPr>
          <w:rFonts w:ascii="Verdana" w:hAnsi="Verdana"/>
          <w:b/>
        </w:rPr>
        <w:t>he Texas Emergency Management Advisory Committee</w:t>
      </w:r>
    </w:p>
    <w:p w14:paraId="5870C788" w14:textId="77777777" w:rsidR="00107CF5" w:rsidRPr="00FA1581" w:rsidRDefault="00606799" w:rsidP="00606799">
      <w:pPr>
        <w:spacing w:after="0" w:line="240" w:lineRule="auto"/>
        <w:jc w:val="center"/>
        <w:rPr>
          <w:rFonts w:ascii="Verdana" w:hAnsi="Verdana"/>
          <w:b/>
        </w:rPr>
      </w:pPr>
      <w:r w:rsidRPr="00FA1581">
        <w:rPr>
          <w:rFonts w:ascii="Verdana" w:hAnsi="Verdana"/>
          <w:b/>
        </w:rPr>
        <w:t>May 2018</w:t>
      </w:r>
    </w:p>
    <w:p w14:paraId="79A391A2" w14:textId="77777777" w:rsidR="00107CF5" w:rsidRPr="00FA1581" w:rsidRDefault="00107CF5" w:rsidP="00107CF5">
      <w:pPr>
        <w:spacing w:after="0" w:line="240" w:lineRule="auto"/>
        <w:rPr>
          <w:rFonts w:ascii="Verdana" w:hAnsi="Verdana"/>
        </w:rPr>
      </w:pPr>
    </w:p>
    <w:p w14:paraId="490FC1DB" w14:textId="77777777" w:rsidR="00AE7AD0" w:rsidRDefault="00225021" w:rsidP="00225021">
      <w:pPr>
        <w:spacing w:after="0" w:line="240" w:lineRule="auto"/>
        <w:rPr>
          <w:rFonts w:ascii="Verdana" w:hAnsi="Verdana"/>
        </w:rPr>
      </w:pPr>
      <w:r w:rsidRPr="00FA1581">
        <w:rPr>
          <w:rFonts w:ascii="Verdana" w:hAnsi="Verdana"/>
          <w:b/>
        </w:rPr>
        <w:t xml:space="preserve">Recommendation: </w:t>
      </w:r>
      <w:r w:rsidRPr="00FA1581">
        <w:rPr>
          <w:rFonts w:ascii="Verdana" w:hAnsi="Verdana"/>
        </w:rPr>
        <w:t xml:space="preserve">The Disability Task Force supports a proposal to the Texas Department of Emergency Management to establish and hire a full-time disability integration coordinator. </w:t>
      </w:r>
      <w:r w:rsidR="009C1A29" w:rsidRPr="00FA1581">
        <w:rPr>
          <w:rFonts w:ascii="Verdana" w:hAnsi="Verdana"/>
        </w:rPr>
        <w:t xml:space="preserve"> On May 1</w:t>
      </w:r>
      <w:r w:rsidR="00772E76" w:rsidRPr="00FA1581">
        <w:rPr>
          <w:rFonts w:ascii="Verdana" w:hAnsi="Verdana"/>
        </w:rPr>
        <w:t xml:space="preserve">6, 2018, members of the DTF </w:t>
      </w:r>
      <w:r w:rsidR="009C1A29" w:rsidRPr="00FA1581">
        <w:rPr>
          <w:rFonts w:ascii="Verdana" w:hAnsi="Verdana"/>
        </w:rPr>
        <w:t xml:space="preserve">voted </w:t>
      </w:r>
      <w:r w:rsidR="00974D7E" w:rsidRPr="00FA1581">
        <w:rPr>
          <w:rFonts w:ascii="Verdana" w:hAnsi="Verdana"/>
        </w:rPr>
        <w:t>unanimously in support of</w:t>
      </w:r>
      <w:r w:rsidR="009C1A29" w:rsidRPr="00FA1581">
        <w:rPr>
          <w:rFonts w:ascii="Verdana" w:hAnsi="Verdana"/>
        </w:rPr>
        <w:t xml:space="preserve"> this proposal. On May 17, 2018 the proposal was brought to the TEMAC quarterly meeting by Dr. Laura </w:t>
      </w:r>
      <w:proofErr w:type="spellStart"/>
      <w:r w:rsidR="009C1A29" w:rsidRPr="00FA1581">
        <w:rPr>
          <w:rFonts w:ascii="Verdana" w:hAnsi="Verdana"/>
        </w:rPr>
        <w:t>Stough</w:t>
      </w:r>
      <w:proofErr w:type="spellEnd"/>
      <w:r w:rsidR="009C1A29" w:rsidRPr="00FA1581">
        <w:rPr>
          <w:rFonts w:ascii="Verdana" w:hAnsi="Verdana"/>
        </w:rPr>
        <w:t>, Chair of the Disability Task Force, on behalf of the DTF</w:t>
      </w:r>
      <w:r w:rsidR="00772E76" w:rsidRPr="00FA1581">
        <w:rPr>
          <w:rFonts w:ascii="Verdana" w:hAnsi="Verdana"/>
        </w:rPr>
        <w:t>, for endorsement by TEMAC</w:t>
      </w:r>
      <w:r w:rsidR="009C1A29" w:rsidRPr="00FA1581">
        <w:rPr>
          <w:rFonts w:ascii="Verdana" w:hAnsi="Verdana"/>
        </w:rPr>
        <w:t>.</w:t>
      </w:r>
    </w:p>
    <w:p w14:paraId="6F2556DE" w14:textId="7C8CC9D1" w:rsidR="00225021" w:rsidRPr="00FA1581" w:rsidRDefault="00393F80" w:rsidP="00225021">
      <w:pPr>
        <w:spacing w:after="0" w:line="240" w:lineRule="auto"/>
        <w:rPr>
          <w:rFonts w:ascii="Verdana" w:hAnsi="Verdana"/>
        </w:rPr>
      </w:pPr>
      <w:r w:rsidRPr="00FA1581">
        <w:rPr>
          <w:rFonts w:ascii="Verdana" w:hAnsi="Verdana"/>
        </w:rPr>
        <w:t>__________________________________________________________________</w:t>
      </w:r>
    </w:p>
    <w:p w14:paraId="03039982" w14:textId="77777777" w:rsidR="0045398C" w:rsidRPr="00FA1581" w:rsidRDefault="0045398C" w:rsidP="00225021">
      <w:pPr>
        <w:spacing w:after="0" w:line="240" w:lineRule="auto"/>
        <w:rPr>
          <w:rFonts w:ascii="Verdana" w:hAnsi="Verdana"/>
        </w:rPr>
      </w:pPr>
    </w:p>
    <w:p w14:paraId="06827165" w14:textId="39A6D1CE" w:rsidR="00225021" w:rsidRPr="00FA1581" w:rsidRDefault="00225021" w:rsidP="00225021">
      <w:pPr>
        <w:spacing w:after="0" w:line="240" w:lineRule="auto"/>
        <w:rPr>
          <w:rFonts w:ascii="Verdana" w:hAnsi="Verdana"/>
        </w:rPr>
      </w:pPr>
      <w:r w:rsidRPr="00FA1581">
        <w:rPr>
          <w:rFonts w:ascii="Verdana" w:hAnsi="Verdana"/>
          <w:b/>
        </w:rPr>
        <w:t xml:space="preserve">Background: </w:t>
      </w:r>
      <w:r w:rsidRPr="00FA1581">
        <w:rPr>
          <w:rFonts w:ascii="Verdana" w:hAnsi="Verdana"/>
        </w:rPr>
        <w:t>The Disability T</w:t>
      </w:r>
      <w:r w:rsidR="00840B7A" w:rsidRPr="00FA1581">
        <w:rPr>
          <w:rFonts w:ascii="Verdana" w:hAnsi="Verdana"/>
        </w:rPr>
        <w:t>ask Force (DTF) was established as an advisory group to the Texas Emergency Management Advisory Committee (TEMAC) in 2016. The DTF has served as a resource to the Texas Division on Emergency Management (TDEM) since 2011. Over 30 different state agencies, organizations, and local entities have held membership in the DTF, including over a dozen disability groups</w:t>
      </w:r>
      <w:r w:rsidR="000200E5" w:rsidRPr="00FA1581">
        <w:rPr>
          <w:rFonts w:ascii="Verdana" w:hAnsi="Verdana"/>
        </w:rPr>
        <w:t xml:space="preserve"> represent</w:t>
      </w:r>
      <w:r w:rsidR="00606799" w:rsidRPr="00FA1581">
        <w:rPr>
          <w:rFonts w:ascii="Verdana" w:hAnsi="Verdana"/>
        </w:rPr>
        <w:t>ing</w:t>
      </w:r>
      <w:r w:rsidR="000200E5" w:rsidRPr="00FA1581">
        <w:rPr>
          <w:rFonts w:ascii="Verdana" w:hAnsi="Verdana"/>
        </w:rPr>
        <w:t xml:space="preserve"> citizens from across Texas</w:t>
      </w:r>
      <w:r w:rsidR="00974D7E" w:rsidRPr="00FA1581">
        <w:rPr>
          <w:rFonts w:ascii="Verdana" w:hAnsi="Verdana"/>
        </w:rPr>
        <w:t xml:space="preserve"> (see </w:t>
      </w:r>
      <w:r w:rsidR="00B5081F">
        <w:rPr>
          <w:rFonts w:ascii="Verdana" w:hAnsi="Verdana"/>
        </w:rPr>
        <w:t>Appendix A</w:t>
      </w:r>
      <w:r w:rsidR="00974D7E" w:rsidRPr="00FA1581">
        <w:rPr>
          <w:rFonts w:ascii="Verdana" w:hAnsi="Verdana"/>
        </w:rPr>
        <w:t>)</w:t>
      </w:r>
      <w:r w:rsidR="00840B7A" w:rsidRPr="00FA1581">
        <w:rPr>
          <w:rFonts w:ascii="Verdana" w:hAnsi="Verdana"/>
        </w:rPr>
        <w:t xml:space="preserve">. </w:t>
      </w:r>
    </w:p>
    <w:p w14:paraId="5544F526" w14:textId="77777777" w:rsidR="000200E5" w:rsidRPr="00FA1581" w:rsidRDefault="000200E5" w:rsidP="00225021">
      <w:pPr>
        <w:spacing w:after="0" w:line="240" w:lineRule="auto"/>
        <w:rPr>
          <w:rFonts w:ascii="Verdana" w:hAnsi="Verdana"/>
        </w:rPr>
      </w:pPr>
    </w:p>
    <w:p w14:paraId="517D9B41" w14:textId="4EE55A75" w:rsidR="000200E5" w:rsidRPr="00FA1581" w:rsidRDefault="000200E5" w:rsidP="00225021">
      <w:pPr>
        <w:spacing w:after="0" w:line="240" w:lineRule="auto"/>
        <w:rPr>
          <w:rFonts w:ascii="Verdana" w:hAnsi="Verdana"/>
        </w:rPr>
      </w:pPr>
      <w:r w:rsidRPr="00FA1581">
        <w:rPr>
          <w:rFonts w:ascii="Verdana" w:hAnsi="Verdana"/>
          <w:b/>
        </w:rPr>
        <w:t>Need:</w:t>
      </w:r>
      <w:r w:rsidRPr="00FA1581">
        <w:rPr>
          <w:rFonts w:ascii="Verdana" w:hAnsi="Verdana"/>
        </w:rPr>
        <w:t xml:space="preserve"> </w:t>
      </w:r>
      <w:r w:rsidR="00606799" w:rsidRPr="00FA1581">
        <w:rPr>
          <w:rFonts w:ascii="Verdana" w:hAnsi="Verdana"/>
        </w:rPr>
        <w:t xml:space="preserve">The </w:t>
      </w:r>
      <w:r w:rsidRPr="00FA1581">
        <w:rPr>
          <w:rFonts w:ascii="Verdana" w:hAnsi="Verdana"/>
        </w:rPr>
        <w:t>U.S. Census estimates the national disability prevalence rate a</w:t>
      </w:r>
      <w:r w:rsidR="00606799" w:rsidRPr="00FA1581">
        <w:rPr>
          <w:rFonts w:ascii="Verdana" w:hAnsi="Verdana"/>
        </w:rPr>
        <w:t xml:space="preserve">t 18.7 percent (Brault, 2012) and </w:t>
      </w:r>
      <w:r w:rsidRPr="00FA1581">
        <w:rPr>
          <w:rFonts w:ascii="Verdana" w:hAnsi="Verdana"/>
        </w:rPr>
        <w:t xml:space="preserve">the 2018 Texas disability rate </w:t>
      </w:r>
      <w:r w:rsidR="00606799" w:rsidRPr="00FA1581">
        <w:rPr>
          <w:rFonts w:ascii="Verdana" w:hAnsi="Verdana"/>
        </w:rPr>
        <w:t xml:space="preserve">is estimated to be 22.9% (The Centers for Disease Control and Prevention, 2018). </w:t>
      </w:r>
      <w:r w:rsidRPr="00FA1581">
        <w:rPr>
          <w:rFonts w:ascii="Verdana" w:hAnsi="Verdana"/>
        </w:rPr>
        <w:t xml:space="preserve">Given the current </w:t>
      </w:r>
      <w:r w:rsidR="00D04EFA" w:rsidRPr="00FA1581">
        <w:rPr>
          <w:rFonts w:ascii="Verdana" w:hAnsi="Verdana"/>
        </w:rPr>
        <w:t>state</w:t>
      </w:r>
      <w:r w:rsidRPr="00FA1581">
        <w:rPr>
          <w:rFonts w:ascii="Verdana" w:hAnsi="Verdana"/>
        </w:rPr>
        <w:t xml:space="preserve"> population of 28.3 million, approximately </w:t>
      </w:r>
      <w:r w:rsidR="00EB6304" w:rsidRPr="00FA1581">
        <w:rPr>
          <w:rFonts w:ascii="Verdana" w:hAnsi="Verdana"/>
        </w:rPr>
        <w:t xml:space="preserve">6.48 million Texans can be expected to have </w:t>
      </w:r>
      <w:r w:rsidR="00974D7E" w:rsidRPr="00FA1581">
        <w:rPr>
          <w:rFonts w:ascii="Verdana" w:hAnsi="Verdana"/>
        </w:rPr>
        <w:t>a</w:t>
      </w:r>
      <w:r w:rsidR="00EB6304" w:rsidRPr="00FA1581">
        <w:rPr>
          <w:rFonts w:ascii="Verdana" w:hAnsi="Verdana"/>
        </w:rPr>
        <w:t xml:space="preserve"> mobility, cognitive, sensory, </w:t>
      </w:r>
      <w:r w:rsidR="00974D7E" w:rsidRPr="00FA1581">
        <w:rPr>
          <w:rFonts w:ascii="Verdana" w:hAnsi="Verdana"/>
        </w:rPr>
        <w:t xml:space="preserve">or </w:t>
      </w:r>
      <w:r w:rsidR="00606799" w:rsidRPr="00FA1581">
        <w:rPr>
          <w:rFonts w:ascii="Verdana" w:hAnsi="Verdana"/>
        </w:rPr>
        <w:t>mental health</w:t>
      </w:r>
      <w:r w:rsidR="00974D7E" w:rsidRPr="00FA1581">
        <w:rPr>
          <w:rFonts w:ascii="Verdana" w:hAnsi="Verdana"/>
        </w:rPr>
        <w:t xml:space="preserve"> disabilities</w:t>
      </w:r>
      <w:r w:rsidR="00606799" w:rsidRPr="00FA1581">
        <w:rPr>
          <w:rFonts w:ascii="Verdana" w:hAnsi="Verdana"/>
        </w:rPr>
        <w:t xml:space="preserve">, </w:t>
      </w:r>
      <w:r w:rsidR="00EB6304" w:rsidRPr="00FA1581">
        <w:rPr>
          <w:rFonts w:ascii="Verdana" w:hAnsi="Verdana"/>
        </w:rPr>
        <w:t>or limitation</w:t>
      </w:r>
      <w:r w:rsidR="00D04EFA" w:rsidRPr="00FA1581">
        <w:rPr>
          <w:rFonts w:ascii="Verdana" w:hAnsi="Verdana"/>
        </w:rPr>
        <w:t>s</w:t>
      </w:r>
      <w:r w:rsidR="00EB6304" w:rsidRPr="00FA1581">
        <w:rPr>
          <w:rFonts w:ascii="Verdana" w:hAnsi="Verdana"/>
        </w:rPr>
        <w:t xml:space="preserve"> to independent living. </w:t>
      </w:r>
      <w:r w:rsidR="00AC5BA6" w:rsidRPr="00FA1581">
        <w:rPr>
          <w:rFonts w:ascii="Verdana" w:hAnsi="Verdana"/>
        </w:rPr>
        <w:t xml:space="preserve">The National Response Framework stipulates that “Emergency management staff in all jurisdictions have a fundamental responsibility to consider the needs of all members of the whole community, including…individuals with disabilities and others with access and functional needs” (2013, p. 4). Section 308 of the Robert T. Stafford Disaster Relief and Emergency Assistance Act prohibits disability-related discrimination during disaster relief and assistance activities. </w:t>
      </w:r>
      <w:r w:rsidR="00FA1581" w:rsidRPr="00FA1581">
        <w:rPr>
          <w:rFonts w:ascii="Verdana" w:hAnsi="Verdana"/>
        </w:rPr>
        <w:t>Federal laws, policies, and directives inform the whole community approach (NACCHO, 2014) and there are legal implications for governmental entities which do not adequately address the needs of individuals with disabilities</w:t>
      </w:r>
      <w:r w:rsidR="0065148C" w:rsidRPr="00FA1581">
        <w:rPr>
          <w:rFonts w:ascii="Verdana" w:hAnsi="Verdana"/>
        </w:rPr>
        <w:t xml:space="preserve"> </w:t>
      </w:r>
      <w:r w:rsidR="00FA1581" w:rsidRPr="00FA1581">
        <w:rPr>
          <w:rFonts w:ascii="Verdana" w:hAnsi="Verdana"/>
        </w:rPr>
        <w:t xml:space="preserve">in their emergency management practices </w:t>
      </w:r>
      <w:r w:rsidR="0065148C" w:rsidRPr="00FA1581">
        <w:rPr>
          <w:rFonts w:ascii="Verdana" w:hAnsi="Verdana"/>
        </w:rPr>
        <w:t>(see Appendix</w:t>
      </w:r>
      <w:r w:rsidR="00B5081F">
        <w:rPr>
          <w:rFonts w:ascii="Verdana" w:hAnsi="Verdana"/>
        </w:rPr>
        <w:t xml:space="preserve"> B</w:t>
      </w:r>
      <w:r w:rsidR="0065148C" w:rsidRPr="00FA1581">
        <w:rPr>
          <w:rFonts w:ascii="Verdana" w:hAnsi="Verdana"/>
        </w:rPr>
        <w:t>).</w:t>
      </w:r>
    </w:p>
    <w:p w14:paraId="5AB9EE65" w14:textId="77777777" w:rsidR="00EB6304" w:rsidRPr="00FA1581" w:rsidRDefault="00EB6304" w:rsidP="00225021">
      <w:pPr>
        <w:spacing w:after="0" w:line="240" w:lineRule="auto"/>
        <w:rPr>
          <w:rFonts w:ascii="Verdana" w:hAnsi="Verdana"/>
        </w:rPr>
      </w:pPr>
    </w:p>
    <w:p w14:paraId="29FB741B" w14:textId="76628888" w:rsidR="00EB6304" w:rsidRPr="00FA1581" w:rsidRDefault="00EB6304" w:rsidP="00EB6304">
      <w:pPr>
        <w:spacing w:after="0" w:line="240" w:lineRule="auto"/>
        <w:contextualSpacing/>
        <w:rPr>
          <w:rFonts w:ascii="Verdana" w:hAnsi="Verdana"/>
        </w:rPr>
      </w:pPr>
      <w:r w:rsidRPr="00FA1581">
        <w:rPr>
          <w:rFonts w:ascii="Verdana" w:hAnsi="Verdana"/>
        </w:rPr>
        <w:t xml:space="preserve">Research clearly </w:t>
      </w:r>
      <w:r w:rsidR="00606799" w:rsidRPr="00FA1581">
        <w:rPr>
          <w:rFonts w:ascii="Verdana" w:hAnsi="Verdana"/>
        </w:rPr>
        <w:t>documents</w:t>
      </w:r>
      <w:r w:rsidRPr="00FA1581">
        <w:rPr>
          <w:rFonts w:ascii="Verdana" w:hAnsi="Verdana"/>
        </w:rPr>
        <w:t xml:space="preserve"> that people with disabilities are disproportionately vulnerable in emergency situations (</w:t>
      </w:r>
      <w:r w:rsidR="00131D60" w:rsidRPr="00FA1581">
        <w:rPr>
          <w:rFonts w:ascii="Verdana" w:hAnsi="Verdana"/>
        </w:rPr>
        <w:t xml:space="preserve">Alexander, Gaillard, &amp; Wisner, 2012; Davis &amp; Phillips, 2009; </w:t>
      </w:r>
      <w:proofErr w:type="spellStart"/>
      <w:r w:rsidRPr="00FA1581">
        <w:rPr>
          <w:rFonts w:ascii="Verdana" w:hAnsi="Verdana"/>
        </w:rPr>
        <w:t>Stough</w:t>
      </w:r>
      <w:proofErr w:type="spellEnd"/>
      <w:r w:rsidRPr="00FA1581">
        <w:rPr>
          <w:rFonts w:ascii="Verdana" w:hAnsi="Verdana"/>
        </w:rPr>
        <w:t xml:space="preserve"> &amp; </w:t>
      </w:r>
      <w:proofErr w:type="spellStart"/>
      <w:r w:rsidRPr="00FA1581">
        <w:rPr>
          <w:rFonts w:ascii="Verdana" w:hAnsi="Verdana"/>
        </w:rPr>
        <w:t>Kelman</w:t>
      </w:r>
      <w:proofErr w:type="spellEnd"/>
      <w:r w:rsidRPr="00FA1581">
        <w:rPr>
          <w:rFonts w:ascii="Verdana" w:hAnsi="Verdana"/>
        </w:rPr>
        <w:t xml:space="preserve">, 2018). Studies show that people with disabilities are more likely to lose their homes, to have property damage, and to die in disasters. They are more likely to be separated from their family members, overlooked by relief volunteers in shelters, and to suffer injuries or incur health-related complications. Compounding these difficulties, before disasters occur people with disabilities are more likely to live in poverty, be unemployed, and have limited access to health care. These factors </w:t>
      </w:r>
      <w:r w:rsidR="00131D60" w:rsidRPr="00FA1581">
        <w:rPr>
          <w:rFonts w:ascii="Verdana" w:hAnsi="Verdana"/>
        </w:rPr>
        <w:t xml:space="preserve">indicate </w:t>
      </w:r>
      <w:r w:rsidR="00606799" w:rsidRPr="00FA1581">
        <w:rPr>
          <w:rFonts w:ascii="Verdana" w:hAnsi="Verdana"/>
        </w:rPr>
        <w:t xml:space="preserve">that targeted technical expertise and capacity is required in state </w:t>
      </w:r>
      <w:r w:rsidR="00131D60" w:rsidRPr="00FA1581">
        <w:rPr>
          <w:rFonts w:ascii="Verdana" w:hAnsi="Verdana"/>
        </w:rPr>
        <w:t xml:space="preserve">departments of emergency management </w:t>
      </w:r>
      <w:r w:rsidR="00606799" w:rsidRPr="00FA1581">
        <w:rPr>
          <w:rFonts w:ascii="Verdana" w:hAnsi="Verdana"/>
        </w:rPr>
        <w:t>to adequately address the needs</w:t>
      </w:r>
      <w:r w:rsidR="00272B11" w:rsidRPr="00FA1581">
        <w:rPr>
          <w:rFonts w:ascii="Verdana" w:hAnsi="Verdana"/>
        </w:rPr>
        <w:t xml:space="preserve"> of citizens with disabilities and other access and functional needs</w:t>
      </w:r>
      <w:r w:rsidR="00606799" w:rsidRPr="00FA1581">
        <w:rPr>
          <w:rFonts w:ascii="Verdana" w:hAnsi="Verdana"/>
        </w:rPr>
        <w:t>.</w:t>
      </w:r>
    </w:p>
    <w:p w14:paraId="2EA1FA5D" w14:textId="77777777" w:rsidR="00EB6304" w:rsidRDefault="00EB6304" w:rsidP="00EB6304">
      <w:pPr>
        <w:spacing w:after="0" w:line="240" w:lineRule="auto"/>
        <w:contextualSpacing/>
        <w:rPr>
          <w:rFonts w:ascii="Verdana" w:hAnsi="Verdana"/>
        </w:rPr>
      </w:pPr>
    </w:p>
    <w:p w14:paraId="2B468AB0" w14:textId="77777777" w:rsidR="000028DD" w:rsidRPr="00FA1581" w:rsidRDefault="000028DD" w:rsidP="00EB6304">
      <w:pPr>
        <w:spacing w:after="0" w:line="240" w:lineRule="auto"/>
        <w:contextualSpacing/>
        <w:rPr>
          <w:rFonts w:ascii="Verdana" w:hAnsi="Verdana"/>
        </w:rPr>
      </w:pPr>
    </w:p>
    <w:p w14:paraId="170E915D" w14:textId="28D0936A" w:rsidR="00EB6304" w:rsidRPr="00FA1581" w:rsidRDefault="00606799" w:rsidP="00EB6304">
      <w:pPr>
        <w:spacing w:after="0" w:line="240" w:lineRule="auto"/>
        <w:contextualSpacing/>
        <w:rPr>
          <w:rFonts w:ascii="Verdana" w:hAnsi="Verdana"/>
        </w:rPr>
      </w:pPr>
      <w:r w:rsidRPr="00FA1581">
        <w:rPr>
          <w:rFonts w:ascii="Verdana" w:hAnsi="Verdana"/>
        </w:rPr>
        <w:t>Several</w:t>
      </w:r>
      <w:r w:rsidR="00741535" w:rsidRPr="00FA1581">
        <w:rPr>
          <w:rFonts w:ascii="Verdana" w:hAnsi="Verdana"/>
        </w:rPr>
        <w:t xml:space="preserve"> </w:t>
      </w:r>
      <w:r w:rsidR="00EB6304" w:rsidRPr="00FA1581">
        <w:rPr>
          <w:rFonts w:ascii="Verdana" w:hAnsi="Verdana"/>
        </w:rPr>
        <w:t xml:space="preserve">Disability Task Force members </w:t>
      </w:r>
      <w:r w:rsidR="00284A49" w:rsidRPr="00FA1581">
        <w:rPr>
          <w:rFonts w:ascii="Verdana" w:hAnsi="Verdana"/>
        </w:rPr>
        <w:t xml:space="preserve">represent agencies </w:t>
      </w:r>
      <w:r w:rsidR="00272B11" w:rsidRPr="00FA1581">
        <w:rPr>
          <w:rFonts w:ascii="Verdana" w:hAnsi="Verdana"/>
        </w:rPr>
        <w:t xml:space="preserve">directly </w:t>
      </w:r>
      <w:r w:rsidR="00284A49" w:rsidRPr="00FA1581">
        <w:rPr>
          <w:rFonts w:ascii="Verdana" w:hAnsi="Verdana"/>
        </w:rPr>
        <w:t xml:space="preserve">involved in </w:t>
      </w:r>
      <w:r w:rsidR="00EB6304" w:rsidRPr="00FA1581">
        <w:rPr>
          <w:rFonts w:ascii="Verdana" w:hAnsi="Verdana"/>
        </w:rPr>
        <w:t xml:space="preserve">the response and relief efforts </w:t>
      </w:r>
      <w:r w:rsidR="00284A49" w:rsidRPr="00FA1581">
        <w:rPr>
          <w:rFonts w:ascii="Verdana" w:hAnsi="Verdana"/>
        </w:rPr>
        <w:t>to</w:t>
      </w:r>
      <w:r w:rsidR="00EB6304" w:rsidRPr="00FA1581">
        <w:rPr>
          <w:rFonts w:ascii="Verdana" w:hAnsi="Verdana"/>
        </w:rPr>
        <w:t xml:space="preserve"> Hurricane Harvey in 2017</w:t>
      </w:r>
      <w:r w:rsidR="00284A49" w:rsidRPr="00FA1581">
        <w:rPr>
          <w:rFonts w:ascii="Verdana" w:hAnsi="Verdana"/>
        </w:rPr>
        <w:t xml:space="preserve">. Others represent disability-related organizations </w:t>
      </w:r>
      <w:r w:rsidRPr="00FA1581">
        <w:rPr>
          <w:rFonts w:ascii="Verdana" w:hAnsi="Verdana"/>
        </w:rPr>
        <w:t xml:space="preserve">which </w:t>
      </w:r>
      <w:r w:rsidR="00284A49" w:rsidRPr="00FA1581">
        <w:rPr>
          <w:rFonts w:ascii="Verdana" w:hAnsi="Verdana"/>
        </w:rPr>
        <w:t xml:space="preserve">received direct reports from </w:t>
      </w:r>
      <w:r w:rsidR="00741535" w:rsidRPr="00FA1581">
        <w:rPr>
          <w:rFonts w:ascii="Verdana" w:hAnsi="Verdana"/>
        </w:rPr>
        <w:t xml:space="preserve">clients and </w:t>
      </w:r>
      <w:r w:rsidR="00284A49" w:rsidRPr="00FA1581">
        <w:rPr>
          <w:rFonts w:ascii="Verdana" w:hAnsi="Verdana"/>
        </w:rPr>
        <w:t xml:space="preserve">community members during the </w:t>
      </w:r>
      <w:r w:rsidRPr="00FA1581">
        <w:rPr>
          <w:rFonts w:ascii="Verdana" w:hAnsi="Verdana"/>
        </w:rPr>
        <w:t>disaster</w:t>
      </w:r>
      <w:r w:rsidR="00284A49" w:rsidRPr="00FA1581">
        <w:rPr>
          <w:rFonts w:ascii="Verdana" w:hAnsi="Verdana"/>
        </w:rPr>
        <w:t xml:space="preserve">. To collectively discuss and document </w:t>
      </w:r>
      <w:r w:rsidR="00272B11" w:rsidRPr="00FA1581">
        <w:rPr>
          <w:rFonts w:ascii="Verdana" w:hAnsi="Verdana"/>
        </w:rPr>
        <w:t xml:space="preserve">emergency management practices towards </w:t>
      </w:r>
      <w:r w:rsidR="00284A49" w:rsidRPr="00FA1581">
        <w:rPr>
          <w:rFonts w:ascii="Verdana" w:hAnsi="Verdana"/>
        </w:rPr>
        <w:t xml:space="preserve">Texans with disabilities during Hurricane Harvey, the DTF </w:t>
      </w:r>
      <w:r w:rsidR="00741535" w:rsidRPr="00FA1581">
        <w:rPr>
          <w:rFonts w:ascii="Verdana" w:hAnsi="Verdana"/>
        </w:rPr>
        <w:t>conduct</w:t>
      </w:r>
      <w:r w:rsidR="00272B11" w:rsidRPr="00FA1581">
        <w:rPr>
          <w:rFonts w:ascii="Verdana" w:hAnsi="Verdana"/>
        </w:rPr>
        <w:t>ed</w:t>
      </w:r>
      <w:r w:rsidR="00284A49" w:rsidRPr="00FA1581">
        <w:rPr>
          <w:rFonts w:ascii="Verdana" w:hAnsi="Verdana"/>
        </w:rPr>
        <w:t xml:space="preserve"> an After-Action Discussion and survey </w:t>
      </w:r>
      <w:r w:rsidR="00272B11" w:rsidRPr="00FA1581">
        <w:rPr>
          <w:rFonts w:ascii="Verdana" w:hAnsi="Verdana"/>
        </w:rPr>
        <w:t xml:space="preserve">of </w:t>
      </w:r>
      <w:r w:rsidR="00284A49" w:rsidRPr="00FA1581">
        <w:rPr>
          <w:rFonts w:ascii="Verdana" w:hAnsi="Verdana"/>
        </w:rPr>
        <w:t>its members du</w:t>
      </w:r>
      <w:r w:rsidR="00272B11" w:rsidRPr="00FA1581">
        <w:rPr>
          <w:rFonts w:ascii="Verdana" w:hAnsi="Verdana"/>
        </w:rPr>
        <w:t>ring the Spring of 2018. Among</w:t>
      </w:r>
      <w:r w:rsidR="00284A49" w:rsidRPr="00FA1581">
        <w:rPr>
          <w:rFonts w:ascii="Verdana" w:hAnsi="Verdana"/>
        </w:rPr>
        <w:t xml:space="preserve"> other findings, the DTF discussion </w:t>
      </w:r>
      <w:r w:rsidR="00272B11" w:rsidRPr="00FA1581">
        <w:rPr>
          <w:rFonts w:ascii="Verdana" w:hAnsi="Verdana"/>
        </w:rPr>
        <w:t>highlighted</w:t>
      </w:r>
      <w:r w:rsidR="00503520" w:rsidRPr="00FA1581">
        <w:rPr>
          <w:rFonts w:ascii="Verdana" w:hAnsi="Verdana"/>
        </w:rPr>
        <w:t xml:space="preserve"> that</w:t>
      </w:r>
      <w:r w:rsidR="00284A49" w:rsidRPr="00FA1581">
        <w:rPr>
          <w:rFonts w:ascii="Verdana" w:hAnsi="Verdana"/>
        </w:rPr>
        <w:t xml:space="preserve"> the State </w:t>
      </w:r>
      <w:r w:rsidRPr="00FA1581">
        <w:rPr>
          <w:rFonts w:ascii="Verdana" w:hAnsi="Verdana"/>
        </w:rPr>
        <w:t xml:space="preserve">of Texas </w:t>
      </w:r>
      <w:r w:rsidR="00272B11" w:rsidRPr="00FA1581">
        <w:rPr>
          <w:rFonts w:ascii="Verdana" w:hAnsi="Verdana"/>
        </w:rPr>
        <w:t>requires</w:t>
      </w:r>
      <w:r w:rsidR="00284A49" w:rsidRPr="00FA1581">
        <w:rPr>
          <w:rFonts w:ascii="Verdana" w:hAnsi="Verdana"/>
        </w:rPr>
        <w:t xml:space="preserve"> additional </w:t>
      </w:r>
      <w:r w:rsidR="00503520" w:rsidRPr="00FA1581">
        <w:rPr>
          <w:rFonts w:ascii="Verdana" w:hAnsi="Verdana"/>
        </w:rPr>
        <w:t xml:space="preserve">emergency management </w:t>
      </w:r>
      <w:r w:rsidR="00284A49" w:rsidRPr="00FA1581">
        <w:rPr>
          <w:rFonts w:ascii="Verdana" w:hAnsi="Verdana"/>
        </w:rPr>
        <w:t xml:space="preserve">capacity to meet the needs of Texans with disabilities experiencing disaster. </w:t>
      </w:r>
      <w:r w:rsidR="00503520" w:rsidRPr="00FA1581">
        <w:rPr>
          <w:rFonts w:ascii="Verdana" w:hAnsi="Verdana"/>
        </w:rPr>
        <w:t xml:space="preserve">Specifically, </w:t>
      </w:r>
      <w:r w:rsidRPr="00FA1581">
        <w:rPr>
          <w:rFonts w:ascii="Verdana" w:hAnsi="Verdana"/>
        </w:rPr>
        <w:t xml:space="preserve">a coordinator whose primary function is to address disability-related communications and preparedness in advance of emergencies, provide </w:t>
      </w:r>
      <w:r w:rsidR="00503520" w:rsidRPr="00FA1581">
        <w:rPr>
          <w:rFonts w:ascii="Verdana" w:hAnsi="Verdana"/>
        </w:rPr>
        <w:t xml:space="preserve">a single-point-of-contact in the State Operations Center during emergencies, </w:t>
      </w:r>
      <w:r w:rsidR="00B50668" w:rsidRPr="00FA1581">
        <w:rPr>
          <w:rFonts w:ascii="Verdana" w:hAnsi="Verdana"/>
        </w:rPr>
        <w:t>an</w:t>
      </w:r>
      <w:r w:rsidRPr="00FA1581">
        <w:rPr>
          <w:rFonts w:ascii="Verdana" w:hAnsi="Verdana"/>
        </w:rPr>
        <w:t>d</w:t>
      </w:r>
      <w:r w:rsidR="00B50668" w:rsidRPr="00FA1581">
        <w:rPr>
          <w:rFonts w:ascii="Verdana" w:hAnsi="Verdana"/>
        </w:rPr>
        <w:t xml:space="preserve"> who provides oversight </w:t>
      </w:r>
      <w:r w:rsidRPr="00FA1581">
        <w:rPr>
          <w:rFonts w:ascii="Verdana" w:hAnsi="Verdana"/>
        </w:rPr>
        <w:t xml:space="preserve">and coordination </w:t>
      </w:r>
      <w:r w:rsidR="00B50668" w:rsidRPr="00FA1581">
        <w:rPr>
          <w:rFonts w:ascii="Verdana" w:hAnsi="Verdana"/>
        </w:rPr>
        <w:t xml:space="preserve">during the </w:t>
      </w:r>
      <w:r w:rsidR="00772E76" w:rsidRPr="00FA1581">
        <w:rPr>
          <w:rFonts w:ascii="Verdana" w:hAnsi="Verdana"/>
        </w:rPr>
        <w:t>mitigation, preparedness, response, and recovery</w:t>
      </w:r>
      <w:r w:rsidR="00B50668" w:rsidRPr="00FA1581">
        <w:rPr>
          <w:rFonts w:ascii="Verdana" w:hAnsi="Verdana"/>
        </w:rPr>
        <w:t xml:space="preserve"> phases of disaster.</w:t>
      </w:r>
    </w:p>
    <w:p w14:paraId="24EB4C84" w14:textId="77777777" w:rsidR="00EB6304" w:rsidRPr="00FA1581" w:rsidRDefault="00EB6304" w:rsidP="00225021">
      <w:pPr>
        <w:spacing w:after="0" w:line="240" w:lineRule="auto"/>
        <w:rPr>
          <w:rFonts w:ascii="Verdana" w:hAnsi="Verdana"/>
        </w:rPr>
      </w:pPr>
    </w:p>
    <w:p w14:paraId="71E3327A" w14:textId="1BBA5A04" w:rsidR="00503520" w:rsidRPr="00FA1581" w:rsidRDefault="00503520" w:rsidP="00225021">
      <w:pPr>
        <w:spacing w:after="0" w:line="240" w:lineRule="auto"/>
        <w:rPr>
          <w:rFonts w:ascii="Verdana" w:hAnsi="Verdana"/>
        </w:rPr>
      </w:pPr>
      <w:r w:rsidRPr="00FA1581">
        <w:rPr>
          <w:rFonts w:ascii="Verdana" w:hAnsi="Verdana"/>
        </w:rPr>
        <w:t>Several other States have increased capacity in their respective departments of emergency management</w:t>
      </w:r>
      <w:r w:rsidR="00B50668" w:rsidRPr="00FA1581">
        <w:rPr>
          <w:rFonts w:ascii="Verdana" w:hAnsi="Verdana"/>
        </w:rPr>
        <w:t>. Most notably, the California Governor’s Office of Emergency Services established an Office of Access and Functional Needs (OAFN) in 2008</w:t>
      </w:r>
      <w:r w:rsidR="00D03132" w:rsidRPr="00FA1581">
        <w:rPr>
          <w:rFonts w:ascii="Verdana" w:hAnsi="Verdana"/>
        </w:rPr>
        <w:t xml:space="preserve"> </w:t>
      </w:r>
      <w:r w:rsidR="00606799" w:rsidRPr="00FA1581">
        <w:rPr>
          <w:rFonts w:ascii="Verdana" w:hAnsi="Verdana"/>
        </w:rPr>
        <w:t>which is headed by</w:t>
      </w:r>
      <w:r w:rsidR="00D03132" w:rsidRPr="00FA1581">
        <w:rPr>
          <w:rFonts w:ascii="Verdana" w:hAnsi="Verdana"/>
        </w:rPr>
        <w:t xml:space="preserve"> a chief for the division</w:t>
      </w:r>
      <w:r w:rsidR="00B50668" w:rsidRPr="00FA1581">
        <w:rPr>
          <w:rFonts w:ascii="Verdana" w:hAnsi="Verdana"/>
        </w:rPr>
        <w:t xml:space="preserve">. The purpose of the OAFN is to identify the needs of individuals with disabilities and others with access and functional needs before, during, and after disasters and to integrate them into the State’s emergency management systems. The OAFN provides guidance to emergency </w:t>
      </w:r>
      <w:r w:rsidR="009046D2" w:rsidRPr="00FA1581">
        <w:rPr>
          <w:rFonts w:ascii="Verdana" w:hAnsi="Verdana"/>
        </w:rPr>
        <w:t xml:space="preserve">managers </w:t>
      </w:r>
      <w:r w:rsidR="00B50668" w:rsidRPr="00FA1581">
        <w:rPr>
          <w:rFonts w:ascii="Verdana" w:hAnsi="Verdana"/>
        </w:rPr>
        <w:t>and planners and to disability and older adult service systems for planning and responding during disasters and recovery. The OAFN also provides training, technical assistance, and informational resources.</w:t>
      </w:r>
      <w:r w:rsidR="00606799" w:rsidRPr="00FA1581">
        <w:rPr>
          <w:rFonts w:ascii="Verdana" w:hAnsi="Verdana"/>
        </w:rPr>
        <w:t xml:space="preserve"> The California OAFN is considered a leading model in the nation</w:t>
      </w:r>
      <w:r w:rsidR="00A20782" w:rsidRPr="00FA1581">
        <w:rPr>
          <w:rFonts w:ascii="Verdana" w:hAnsi="Verdana"/>
        </w:rPr>
        <w:t xml:space="preserve"> on</w:t>
      </w:r>
      <w:r w:rsidR="00606799" w:rsidRPr="00FA1581">
        <w:rPr>
          <w:rFonts w:ascii="Verdana" w:hAnsi="Verdana"/>
        </w:rPr>
        <w:t xml:space="preserve"> how to address the emergency management needs of the disability community.</w:t>
      </w:r>
    </w:p>
    <w:p w14:paraId="341459F2" w14:textId="77777777" w:rsidR="00D03132" w:rsidRPr="00FA1581" w:rsidRDefault="00D03132" w:rsidP="00225021">
      <w:pPr>
        <w:spacing w:after="0" w:line="240" w:lineRule="auto"/>
        <w:rPr>
          <w:rFonts w:ascii="Verdana" w:hAnsi="Verdana"/>
        </w:rPr>
      </w:pPr>
    </w:p>
    <w:p w14:paraId="0BCB7AD9" w14:textId="64B419E7" w:rsidR="00D03132" w:rsidRPr="00FA1581" w:rsidRDefault="00D03132" w:rsidP="00225021">
      <w:pPr>
        <w:spacing w:after="0" w:line="240" w:lineRule="auto"/>
        <w:rPr>
          <w:rFonts w:ascii="Verdana" w:hAnsi="Verdana"/>
        </w:rPr>
      </w:pPr>
      <w:r w:rsidRPr="00FA1581">
        <w:rPr>
          <w:rFonts w:ascii="Verdana" w:hAnsi="Verdana"/>
        </w:rPr>
        <w:t xml:space="preserve">Since </w:t>
      </w:r>
      <w:r w:rsidR="00606799" w:rsidRPr="00FA1581">
        <w:rPr>
          <w:rFonts w:ascii="Verdana" w:hAnsi="Verdana"/>
        </w:rPr>
        <w:t>its</w:t>
      </w:r>
      <w:r w:rsidRPr="00FA1581">
        <w:rPr>
          <w:rFonts w:ascii="Verdana" w:hAnsi="Verdana"/>
        </w:rPr>
        <w:t xml:space="preserve"> establishment in 2011, </w:t>
      </w:r>
      <w:r w:rsidR="00606799" w:rsidRPr="00FA1581">
        <w:rPr>
          <w:rFonts w:ascii="Verdana" w:hAnsi="Verdana"/>
        </w:rPr>
        <w:t>the Disability Task Force</w:t>
      </w:r>
      <w:r w:rsidRPr="00FA1581">
        <w:rPr>
          <w:rFonts w:ascii="Verdana" w:hAnsi="Verdana"/>
        </w:rPr>
        <w:t xml:space="preserve"> has developed important disability-related tools and training for the Department of Emergency Management</w:t>
      </w:r>
      <w:r w:rsidR="00606799" w:rsidRPr="00FA1581">
        <w:rPr>
          <w:rFonts w:ascii="Verdana" w:hAnsi="Verdana"/>
        </w:rPr>
        <w:t xml:space="preserve"> and for emergency managers</w:t>
      </w:r>
      <w:r w:rsidRPr="00FA1581">
        <w:rPr>
          <w:rFonts w:ascii="Verdana" w:hAnsi="Verdana"/>
        </w:rPr>
        <w:t xml:space="preserve">. DTF </w:t>
      </w:r>
      <w:r w:rsidR="00606799" w:rsidRPr="00FA1581">
        <w:rPr>
          <w:rFonts w:ascii="Verdana" w:hAnsi="Verdana"/>
        </w:rPr>
        <w:t>members are</w:t>
      </w:r>
      <w:r w:rsidRPr="00FA1581">
        <w:rPr>
          <w:rFonts w:ascii="Verdana" w:hAnsi="Verdana"/>
        </w:rPr>
        <w:t xml:space="preserve"> a consistent presence at the Texas Emergency Management</w:t>
      </w:r>
      <w:r w:rsidR="00606799" w:rsidRPr="00FA1581">
        <w:rPr>
          <w:rFonts w:ascii="Verdana" w:hAnsi="Verdana"/>
        </w:rPr>
        <w:t xml:space="preserve"> </w:t>
      </w:r>
      <w:r w:rsidR="002A276A" w:rsidRPr="00FA1581">
        <w:rPr>
          <w:rFonts w:ascii="Verdana" w:hAnsi="Verdana"/>
        </w:rPr>
        <w:t xml:space="preserve">Conferences </w:t>
      </w:r>
      <w:r w:rsidR="00606799" w:rsidRPr="00FA1581">
        <w:rPr>
          <w:rFonts w:ascii="Verdana" w:hAnsi="Verdana"/>
        </w:rPr>
        <w:t xml:space="preserve">and similar </w:t>
      </w:r>
      <w:r w:rsidR="002A276A" w:rsidRPr="00FA1581">
        <w:rPr>
          <w:rFonts w:ascii="Verdana" w:hAnsi="Verdana"/>
        </w:rPr>
        <w:t>venues</w:t>
      </w:r>
      <w:r w:rsidR="00606799" w:rsidRPr="00FA1581">
        <w:rPr>
          <w:rFonts w:ascii="Verdana" w:hAnsi="Verdana"/>
        </w:rPr>
        <w:t>, produce</w:t>
      </w:r>
      <w:r w:rsidRPr="00FA1581">
        <w:rPr>
          <w:rFonts w:ascii="Verdana" w:hAnsi="Verdana"/>
        </w:rPr>
        <w:t xml:space="preserve"> a newsletter,</w:t>
      </w:r>
      <w:r w:rsidR="00A20782" w:rsidRPr="00FA1581">
        <w:rPr>
          <w:rFonts w:ascii="Verdana" w:hAnsi="Verdana"/>
        </w:rPr>
        <w:t xml:space="preserve"> conduct </w:t>
      </w:r>
      <w:r w:rsidR="00606799" w:rsidRPr="00FA1581">
        <w:rPr>
          <w:rFonts w:ascii="Verdana" w:hAnsi="Verdana"/>
        </w:rPr>
        <w:t>webinars, and provide</w:t>
      </w:r>
      <w:r w:rsidRPr="00FA1581">
        <w:rPr>
          <w:rFonts w:ascii="Verdana" w:hAnsi="Verdana"/>
        </w:rPr>
        <w:t xml:space="preserve"> outreach. Importantly, </w:t>
      </w:r>
      <w:r w:rsidR="00606799" w:rsidRPr="00FA1581">
        <w:rPr>
          <w:rFonts w:ascii="Verdana" w:hAnsi="Verdana"/>
        </w:rPr>
        <w:t>the DTF</w:t>
      </w:r>
      <w:r w:rsidRPr="00FA1581">
        <w:rPr>
          <w:rFonts w:ascii="Verdana" w:hAnsi="Verdana"/>
        </w:rPr>
        <w:t xml:space="preserve"> has brought together individuals from </w:t>
      </w:r>
      <w:r w:rsidR="00A20782" w:rsidRPr="00FA1581">
        <w:rPr>
          <w:rFonts w:ascii="Verdana" w:hAnsi="Verdana"/>
        </w:rPr>
        <w:t xml:space="preserve">both </w:t>
      </w:r>
      <w:r w:rsidRPr="00FA1581">
        <w:rPr>
          <w:rFonts w:ascii="Verdana" w:hAnsi="Verdana"/>
        </w:rPr>
        <w:t xml:space="preserve">the disability community and emergency management </w:t>
      </w:r>
      <w:r w:rsidR="00772E76" w:rsidRPr="00FA1581">
        <w:rPr>
          <w:rFonts w:ascii="Verdana" w:hAnsi="Verdana"/>
        </w:rPr>
        <w:t xml:space="preserve">community </w:t>
      </w:r>
      <w:r w:rsidRPr="00FA1581">
        <w:rPr>
          <w:rFonts w:ascii="Verdana" w:hAnsi="Verdana"/>
        </w:rPr>
        <w:t xml:space="preserve">to address the critical topic of how best to serve Texans with disabilities experiencing disaster. However, these </w:t>
      </w:r>
      <w:r w:rsidR="00A20782" w:rsidRPr="00FA1581">
        <w:rPr>
          <w:rFonts w:ascii="Verdana" w:hAnsi="Verdana"/>
        </w:rPr>
        <w:t xml:space="preserve">accomplishments </w:t>
      </w:r>
      <w:r w:rsidRPr="00FA1581">
        <w:rPr>
          <w:rFonts w:ascii="Verdana" w:hAnsi="Verdana"/>
        </w:rPr>
        <w:t xml:space="preserve">have been </w:t>
      </w:r>
      <w:r w:rsidR="00373DCC" w:rsidRPr="00FA1581">
        <w:rPr>
          <w:rFonts w:ascii="Verdana" w:hAnsi="Verdana"/>
        </w:rPr>
        <w:t>ad hoc</w:t>
      </w:r>
      <w:r w:rsidRPr="00FA1581">
        <w:rPr>
          <w:rFonts w:ascii="Verdana" w:hAnsi="Verdana"/>
        </w:rPr>
        <w:t xml:space="preserve"> contributions of DTF members</w:t>
      </w:r>
      <w:r w:rsidR="00373DCC" w:rsidRPr="00FA1581">
        <w:rPr>
          <w:rFonts w:ascii="Verdana" w:hAnsi="Verdana"/>
        </w:rPr>
        <w:t xml:space="preserve">, rather than </w:t>
      </w:r>
      <w:r w:rsidR="00A20782" w:rsidRPr="00FA1581">
        <w:rPr>
          <w:rFonts w:ascii="Verdana" w:hAnsi="Verdana"/>
        </w:rPr>
        <w:t xml:space="preserve">a </w:t>
      </w:r>
      <w:r w:rsidR="00BB4A91" w:rsidRPr="00FA1581">
        <w:rPr>
          <w:rFonts w:ascii="Verdana" w:hAnsi="Verdana"/>
        </w:rPr>
        <w:t xml:space="preserve">coordinated </w:t>
      </w:r>
      <w:r w:rsidR="009046D2" w:rsidRPr="00FA1581">
        <w:rPr>
          <w:rFonts w:ascii="Verdana" w:hAnsi="Verdana"/>
        </w:rPr>
        <w:t xml:space="preserve">and sustained </w:t>
      </w:r>
      <w:r w:rsidR="00BB4A91" w:rsidRPr="00FA1581">
        <w:rPr>
          <w:rFonts w:ascii="Verdana" w:hAnsi="Verdana"/>
        </w:rPr>
        <w:t xml:space="preserve">central function within </w:t>
      </w:r>
      <w:proofErr w:type="gramStart"/>
      <w:r w:rsidR="00BB4A91" w:rsidRPr="00FA1581">
        <w:rPr>
          <w:rFonts w:ascii="Verdana" w:hAnsi="Verdana"/>
        </w:rPr>
        <w:t>TDEM</w:t>
      </w:r>
      <w:r w:rsidR="00373DCC" w:rsidRPr="00FA1581">
        <w:rPr>
          <w:rFonts w:ascii="Verdana" w:hAnsi="Verdana"/>
        </w:rPr>
        <w:t>, and</w:t>
      </w:r>
      <w:proofErr w:type="gramEnd"/>
      <w:r w:rsidR="00373DCC" w:rsidRPr="00FA1581">
        <w:rPr>
          <w:rFonts w:ascii="Verdana" w:hAnsi="Verdana"/>
        </w:rPr>
        <w:t xml:space="preserve"> cannot </w:t>
      </w:r>
      <w:r w:rsidR="00A20782" w:rsidRPr="00FA1581">
        <w:rPr>
          <w:rFonts w:ascii="Verdana" w:hAnsi="Verdana"/>
        </w:rPr>
        <w:t xml:space="preserve">appropriately </w:t>
      </w:r>
      <w:r w:rsidR="00373DCC" w:rsidRPr="00FA1581">
        <w:rPr>
          <w:rFonts w:ascii="Verdana" w:hAnsi="Verdana"/>
        </w:rPr>
        <w:t xml:space="preserve">substitute for a designated disability </w:t>
      </w:r>
      <w:r w:rsidR="009046D2" w:rsidRPr="00FA1581">
        <w:rPr>
          <w:rFonts w:ascii="Verdana" w:hAnsi="Verdana"/>
        </w:rPr>
        <w:t xml:space="preserve">specialist </w:t>
      </w:r>
      <w:r w:rsidR="00373DCC" w:rsidRPr="00FA1581">
        <w:rPr>
          <w:rFonts w:ascii="Verdana" w:hAnsi="Verdana"/>
        </w:rPr>
        <w:t>with a primary appointment within TDEM.</w:t>
      </w:r>
      <w:r w:rsidR="00A84729" w:rsidRPr="00FA1581">
        <w:rPr>
          <w:rFonts w:ascii="Verdana" w:hAnsi="Verdana"/>
        </w:rPr>
        <w:t xml:space="preserve"> In addition, although the TDEM currently provides staff support to the task force, the DTF recognizes the need for TDEM to create a full-time disability </w:t>
      </w:r>
      <w:r w:rsidR="00BB4A91" w:rsidRPr="00FA1581">
        <w:rPr>
          <w:rFonts w:ascii="Verdana" w:hAnsi="Verdana"/>
        </w:rPr>
        <w:t>coordinator</w:t>
      </w:r>
      <w:r w:rsidR="00A84729" w:rsidRPr="00FA1581">
        <w:rPr>
          <w:rFonts w:ascii="Verdana" w:hAnsi="Verdana"/>
        </w:rPr>
        <w:t xml:space="preserve"> position to leverage the task force’s expertise, support task force goals, and coordinate its ongoing activities and contributions to TEMAC and the State of Texas.</w:t>
      </w:r>
    </w:p>
    <w:p w14:paraId="7D6D5963" w14:textId="77777777" w:rsidR="0045398C" w:rsidRPr="00FA1581" w:rsidRDefault="0045398C" w:rsidP="00225021">
      <w:pPr>
        <w:spacing w:after="0" w:line="240" w:lineRule="auto"/>
        <w:rPr>
          <w:rFonts w:ascii="Verdana" w:hAnsi="Verdana"/>
        </w:rPr>
      </w:pPr>
    </w:p>
    <w:p w14:paraId="670B3056" w14:textId="77777777" w:rsidR="0045398C" w:rsidRPr="00FA1581" w:rsidRDefault="0045398C" w:rsidP="00225021">
      <w:pPr>
        <w:spacing w:after="0" w:line="240" w:lineRule="auto"/>
        <w:rPr>
          <w:rFonts w:ascii="Verdana" w:hAnsi="Verdana"/>
        </w:rPr>
      </w:pPr>
    </w:p>
    <w:p w14:paraId="183499D2" w14:textId="77777777" w:rsidR="00373DCC" w:rsidRPr="00FA1581" w:rsidRDefault="00373DCC" w:rsidP="00225021">
      <w:pPr>
        <w:spacing w:after="0" w:line="240" w:lineRule="auto"/>
        <w:rPr>
          <w:rFonts w:ascii="Verdana" w:hAnsi="Verdana"/>
        </w:rPr>
      </w:pPr>
    </w:p>
    <w:p w14:paraId="4C433B08" w14:textId="77777777" w:rsidR="000028DD" w:rsidRDefault="000028DD" w:rsidP="00373DCC">
      <w:pPr>
        <w:spacing w:after="0" w:line="240" w:lineRule="auto"/>
        <w:rPr>
          <w:rFonts w:ascii="Verdana" w:hAnsi="Verdana"/>
          <w:b/>
          <w:sz w:val="22"/>
          <w:szCs w:val="22"/>
        </w:rPr>
      </w:pPr>
    </w:p>
    <w:p w14:paraId="4A3C8B7B" w14:textId="77777777" w:rsidR="000028DD" w:rsidRDefault="000028DD" w:rsidP="00373DCC">
      <w:pPr>
        <w:spacing w:after="0" w:line="240" w:lineRule="auto"/>
        <w:rPr>
          <w:rFonts w:ascii="Verdana" w:hAnsi="Verdana"/>
          <w:b/>
          <w:sz w:val="22"/>
          <w:szCs w:val="22"/>
        </w:rPr>
      </w:pPr>
    </w:p>
    <w:p w14:paraId="34FDCF9A" w14:textId="381AFADE" w:rsidR="00272B11" w:rsidRPr="00FA1581" w:rsidRDefault="00373DCC" w:rsidP="00373DCC">
      <w:pPr>
        <w:spacing w:after="0" w:line="240" w:lineRule="auto"/>
        <w:rPr>
          <w:rFonts w:ascii="Verdana" w:hAnsi="Verdana"/>
          <w:sz w:val="22"/>
          <w:szCs w:val="22"/>
        </w:rPr>
      </w:pPr>
      <w:r w:rsidRPr="00FA1581">
        <w:rPr>
          <w:rFonts w:ascii="Verdana" w:hAnsi="Verdana"/>
          <w:b/>
          <w:sz w:val="22"/>
          <w:szCs w:val="22"/>
        </w:rPr>
        <w:t xml:space="preserve">Proposal:  </w:t>
      </w:r>
      <w:r w:rsidRPr="00FA1581">
        <w:rPr>
          <w:rFonts w:ascii="Verdana" w:hAnsi="Verdana"/>
          <w:sz w:val="22"/>
          <w:szCs w:val="22"/>
        </w:rPr>
        <w:t xml:space="preserve">The Disability Task Force (DTF) supports </w:t>
      </w:r>
      <w:r w:rsidR="00772E76" w:rsidRPr="00FA1581">
        <w:rPr>
          <w:rFonts w:ascii="Verdana" w:hAnsi="Verdana"/>
          <w:sz w:val="22"/>
          <w:szCs w:val="22"/>
        </w:rPr>
        <w:t>this</w:t>
      </w:r>
      <w:r w:rsidRPr="00FA1581">
        <w:rPr>
          <w:rFonts w:ascii="Verdana" w:hAnsi="Verdana"/>
          <w:sz w:val="22"/>
          <w:szCs w:val="22"/>
        </w:rPr>
        <w:t xml:space="preserve"> proposal to the Texas Department of Emergency Management to establish and hire a full-time disability integration coordinator. </w:t>
      </w:r>
      <w:r w:rsidR="00A84729" w:rsidRPr="00FA1581">
        <w:rPr>
          <w:rFonts w:ascii="Verdana" w:hAnsi="Verdana"/>
          <w:sz w:val="22"/>
          <w:szCs w:val="22"/>
        </w:rPr>
        <w:t xml:space="preserve">The work scope of this position would involve overseeing, </w:t>
      </w:r>
      <w:proofErr w:type="gramStart"/>
      <w:r w:rsidR="00A84729" w:rsidRPr="00FA1581">
        <w:rPr>
          <w:rFonts w:ascii="Verdana" w:hAnsi="Verdana"/>
          <w:sz w:val="22"/>
          <w:szCs w:val="22"/>
        </w:rPr>
        <w:t>managing,  planning</w:t>
      </w:r>
      <w:proofErr w:type="gramEnd"/>
      <w:r w:rsidR="00A84729" w:rsidRPr="00FA1581">
        <w:rPr>
          <w:rFonts w:ascii="Verdana" w:hAnsi="Verdana"/>
          <w:sz w:val="22"/>
          <w:szCs w:val="22"/>
        </w:rPr>
        <w:t>, developing, coordinating, and implementing the Texas Division of Emergency Management preparedness</w:t>
      </w:r>
      <w:r w:rsidR="00974D7E" w:rsidRPr="00FA1581">
        <w:rPr>
          <w:rFonts w:ascii="Verdana" w:hAnsi="Verdana"/>
          <w:sz w:val="22"/>
          <w:szCs w:val="22"/>
        </w:rPr>
        <w:t xml:space="preserve">, </w:t>
      </w:r>
      <w:r w:rsidR="00A84729" w:rsidRPr="00FA1581">
        <w:rPr>
          <w:rFonts w:ascii="Verdana" w:hAnsi="Verdana"/>
          <w:sz w:val="22"/>
          <w:szCs w:val="22"/>
        </w:rPr>
        <w:t>response</w:t>
      </w:r>
      <w:r w:rsidR="00974D7E" w:rsidRPr="00FA1581">
        <w:rPr>
          <w:rFonts w:ascii="Verdana" w:hAnsi="Verdana"/>
          <w:sz w:val="22"/>
          <w:szCs w:val="22"/>
        </w:rPr>
        <w:t>, and recovery</w:t>
      </w:r>
      <w:r w:rsidR="00A84729" w:rsidRPr="00FA1581">
        <w:rPr>
          <w:rFonts w:ascii="Verdana" w:hAnsi="Verdana"/>
          <w:sz w:val="22"/>
          <w:szCs w:val="22"/>
        </w:rPr>
        <w:t xml:space="preserve"> activities with the specific intent of planning for and protecting the interest of</w:t>
      </w:r>
      <w:r w:rsidR="009C1A29" w:rsidRPr="00FA1581">
        <w:rPr>
          <w:rFonts w:ascii="Verdana" w:hAnsi="Verdana"/>
          <w:sz w:val="22"/>
          <w:szCs w:val="22"/>
        </w:rPr>
        <w:t xml:space="preserve"> </w:t>
      </w:r>
      <w:r w:rsidR="009046D2" w:rsidRPr="00FA1581">
        <w:rPr>
          <w:rFonts w:ascii="Verdana" w:hAnsi="Verdana"/>
          <w:sz w:val="22"/>
          <w:szCs w:val="22"/>
        </w:rPr>
        <w:t>Texans with disabilities</w:t>
      </w:r>
      <w:r w:rsidR="00A84729" w:rsidRPr="00FA1581">
        <w:rPr>
          <w:rFonts w:ascii="Verdana" w:hAnsi="Verdana"/>
          <w:sz w:val="22"/>
          <w:szCs w:val="22"/>
        </w:rPr>
        <w:t xml:space="preserve">.  </w:t>
      </w:r>
    </w:p>
    <w:p w14:paraId="6D3CC2ED" w14:textId="77777777" w:rsidR="0045398C" w:rsidRPr="00FA1581" w:rsidRDefault="0045398C" w:rsidP="00373DCC">
      <w:pPr>
        <w:spacing w:after="0" w:line="240" w:lineRule="auto"/>
        <w:rPr>
          <w:rFonts w:ascii="Verdana" w:hAnsi="Verdana"/>
          <w:sz w:val="22"/>
          <w:szCs w:val="22"/>
        </w:rPr>
      </w:pPr>
    </w:p>
    <w:p w14:paraId="4F0EF71B" w14:textId="244194EF" w:rsidR="0045398C" w:rsidRPr="00FA1581" w:rsidRDefault="0045398C" w:rsidP="00373DCC">
      <w:pPr>
        <w:spacing w:after="0" w:line="240" w:lineRule="auto"/>
        <w:rPr>
          <w:rFonts w:ascii="Verdana" w:hAnsi="Verdana"/>
          <w:b/>
          <w:sz w:val="22"/>
          <w:szCs w:val="22"/>
        </w:rPr>
      </w:pPr>
      <w:r w:rsidRPr="00FA1581">
        <w:rPr>
          <w:rFonts w:ascii="Verdana" w:hAnsi="Verdana"/>
          <w:b/>
          <w:sz w:val="22"/>
          <w:szCs w:val="22"/>
        </w:rPr>
        <w:t>Considerations</w:t>
      </w:r>
      <w:r w:rsidR="00393F80" w:rsidRPr="00FA1581">
        <w:rPr>
          <w:rFonts w:ascii="Verdana" w:hAnsi="Verdana"/>
          <w:b/>
          <w:sz w:val="22"/>
          <w:szCs w:val="22"/>
        </w:rPr>
        <w:t>:</w:t>
      </w:r>
    </w:p>
    <w:p w14:paraId="13B80564" w14:textId="1AA87E2A" w:rsidR="0045398C" w:rsidRPr="00FA1581" w:rsidRDefault="0045398C" w:rsidP="00393F80">
      <w:pPr>
        <w:spacing w:after="0" w:line="240" w:lineRule="auto"/>
        <w:ind w:left="360" w:hanging="360"/>
        <w:rPr>
          <w:rFonts w:ascii="Verdana" w:hAnsi="Verdana"/>
          <w:sz w:val="22"/>
          <w:szCs w:val="22"/>
        </w:rPr>
      </w:pPr>
      <w:r w:rsidRPr="00FA1581">
        <w:rPr>
          <w:rFonts w:ascii="Verdana" w:hAnsi="Verdana"/>
          <w:sz w:val="22"/>
          <w:szCs w:val="22"/>
        </w:rPr>
        <w:t>1.</w:t>
      </w:r>
      <w:r w:rsidRPr="00FA1581">
        <w:rPr>
          <w:rFonts w:ascii="Verdana" w:hAnsi="Verdana"/>
          <w:sz w:val="22"/>
          <w:szCs w:val="22"/>
        </w:rPr>
        <w:tab/>
        <w:t xml:space="preserve">During Hurricane Harvey the response and recovery efforts of several disability non-profit organizations were commendable. However, these efforts were not well coordinated with the state response. These efforts could have been leveraged </w:t>
      </w:r>
      <w:r w:rsidR="00393F80" w:rsidRPr="00FA1581">
        <w:rPr>
          <w:rFonts w:ascii="Verdana" w:hAnsi="Verdana"/>
          <w:sz w:val="22"/>
          <w:szCs w:val="22"/>
        </w:rPr>
        <w:t>given</w:t>
      </w:r>
      <w:r w:rsidRPr="00FA1581">
        <w:rPr>
          <w:rFonts w:ascii="Verdana" w:hAnsi="Verdana"/>
          <w:sz w:val="22"/>
          <w:szCs w:val="22"/>
        </w:rPr>
        <w:t xml:space="preserve"> state resources </w:t>
      </w:r>
      <w:r w:rsidR="00393F80" w:rsidRPr="00FA1581">
        <w:rPr>
          <w:rFonts w:ascii="Verdana" w:hAnsi="Verdana"/>
          <w:sz w:val="22"/>
          <w:szCs w:val="22"/>
        </w:rPr>
        <w:t>designated</w:t>
      </w:r>
      <w:r w:rsidRPr="00FA1581">
        <w:rPr>
          <w:rFonts w:ascii="Verdana" w:hAnsi="Verdana"/>
          <w:sz w:val="22"/>
          <w:szCs w:val="22"/>
        </w:rPr>
        <w:t xml:space="preserve"> to coordinate disability-related effort</w:t>
      </w:r>
      <w:r w:rsidR="00393F80" w:rsidRPr="00FA1581">
        <w:rPr>
          <w:rFonts w:ascii="Verdana" w:hAnsi="Verdana"/>
          <w:sz w:val="22"/>
          <w:szCs w:val="22"/>
        </w:rPr>
        <w:t>s</w:t>
      </w:r>
      <w:r w:rsidRPr="00FA1581">
        <w:rPr>
          <w:rFonts w:ascii="Verdana" w:hAnsi="Verdana"/>
          <w:sz w:val="22"/>
          <w:szCs w:val="22"/>
        </w:rPr>
        <w:t>.</w:t>
      </w:r>
    </w:p>
    <w:p w14:paraId="76C0129E" w14:textId="3D7E72BE" w:rsidR="00393F80" w:rsidRPr="00FA1581" w:rsidRDefault="00393F80" w:rsidP="00393F80">
      <w:pPr>
        <w:spacing w:after="0" w:line="240" w:lineRule="auto"/>
        <w:ind w:left="360" w:hanging="360"/>
        <w:rPr>
          <w:rFonts w:ascii="Verdana" w:hAnsi="Verdana"/>
          <w:sz w:val="22"/>
          <w:szCs w:val="22"/>
        </w:rPr>
      </w:pPr>
      <w:r w:rsidRPr="00FA1581">
        <w:rPr>
          <w:rFonts w:ascii="Verdana" w:hAnsi="Verdana"/>
          <w:sz w:val="22"/>
          <w:szCs w:val="22"/>
        </w:rPr>
        <w:t>2</w:t>
      </w:r>
      <w:r w:rsidR="0045398C" w:rsidRPr="00FA1581">
        <w:rPr>
          <w:rFonts w:ascii="Verdana" w:hAnsi="Verdana"/>
          <w:sz w:val="22"/>
          <w:szCs w:val="22"/>
        </w:rPr>
        <w:t>.</w:t>
      </w:r>
      <w:r w:rsidR="0045398C" w:rsidRPr="00FA1581">
        <w:rPr>
          <w:rFonts w:ascii="Verdana" w:hAnsi="Verdana"/>
          <w:sz w:val="22"/>
          <w:szCs w:val="22"/>
        </w:rPr>
        <w:tab/>
        <w:t xml:space="preserve">During an emergency there is no designated point-person within the SOC with disability-related expertise </w:t>
      </w:r>
      <w:r w:rsidR="00974D7E" w:rsidRPr="00FA1581">
        <w:rPr>
          <w:rFonts w:ascii="Verdana" w:hAnsi="Verdana"/>
          <w:sz w:val="22"/>
          <w:szCs w:val="22"/>
        </w:rPr>
        <w:t>who is</w:t>
      </w:r>
      <w:r w:rsidR="0045398C" w:rsidRPr="00FA1581">
        <w:rPr>
          <w:rFonts w:ascii="Verdana" w:hAnsi="Verdana"/>
          <w:sz w:val="22"/>
          <w:szCs w:val="22"/>
        </w:rPr>
        <w:t xml:space="preserve"> assigned to help TDEM leadership efficiently and effectively respond to the needs of Texans with disabilities.</w:t>
      </w:r>
    </w:p>
    <w:p w14:paraId="4AD60F9E" w14:textId="167588C2" w:rsidR="00393F80" w:rsidRPr="00FA1581" w:rsidRDefault="00393F80" w:rsidP="00393F80">
      <w:pPr>
        <w:spacing w:after="0" w:line="240" w:lineRule="auto"/>
        <w:ind w:left="360" w:hanging="360"/>
        <w:rPr>
          <w:rFonts w:ascii="Verdana" w:hAnsi="Verdana"/>
          <w:sz w:val="22"/>
          <w:szCs w:val="22"/>
        </w:rPr>
      </w:pPr>
      <w:r w:rsidRPr="00FA1581">
        <w:rPr>
          <w:rFonts w:ascii="Verdana" w:hAnsi="Verdana"/>
          <w:sz w:val="22"/>
          <w:szCs w:val="22"/>
        </w:rPr>
        <w:t>3.</w:t>
      </w:r>
      <w:r w:rsidRPr="00FA1581">
        <w:rPr>
          <w:rFonts w:ascii="Verdana" w:hAnsi="Verdana"/>
          <w:sz w:val="22"/>
          <w:szCs w:val="22"/>
        </w:rPr>
        <w:tab/>
        <w:t xml:space="preserve">While FEMA has a disability integration specialist, FEMA cannot act on behalf of the state of Texas and state agencies and is not under the control of TDEM. TDEM needs disability-informed support at the state level which is part of the State’s coordinated </w:t>
      </w:r>
      <w:r w:rsidR="00772E76" w:rsidRPr="00FA1581">
        <w:rPr>
          <w:rFonts w:ascii="Verdana" w:hAnsi="Verdana"/>
          <w:sz w:val="22"/>
          <w:szCs w:val="22"/>
        </w:rPr>
        <w:t xml:space="preserve">mitigation, preparedness, </w:t>
      </w:r>
      <w:r w:rsidRPr="00FA1581">
        <w:rPr>
          <w:rFonts w:ascii="Verdana" w:hAnsi="Verdana"/>
          <w:sz w:val="22"/>
          <w:szCs w:val="22"/>
        </w:rPr>
        <w:t>response</w:t>
      </w:r>
      <w:r w:rsidR="00772E76" w:rsidRPr="00FA1581">
        <w:rPr>
          <w:rFonts w:ascii="Verdana" w:hAnsi="Verdana"/>
          <w:sz w:val="22"/>
          <w:szCs w:val="22"/>
        </w:rPr>
        <w:t>, and recovery efforts</w:t>
      </w:r>
      <w:r w:rsidRPr="00FA1581">
        <w:rPr>
          <w:rFonts w:ascii="Verdana" w:hAnsi="Verdana"/>
          <w:sz w:val="22"/>
          <w:szCs w:val="22"/>
        </w:rPr>
        <w:t xml:space="preserve">. </w:t>
      </w:r>
    </w:p>
    <w:p w14:paraId="7F9A1FAB" w14:textId="5265AF34" w:rsidR="00393F80" w:rsidRPr="00FA1581" w:rsidRDefault="00393F80" w:rsidP="00393F80">
      <w:pPr>
        <w:spacing w:after="0" w:line="240" w:lineRule="auto"/>
        <w:ind w:left="360" w:hanging="360"/>
        <w:rPr>
          <w:rFonts w:ascii="Verdana" w:hAnsi="Verdana"/>
          <w:sz w:val="22"/>
          <w:szCs w:val="22"/>
        </w:rPr>
      </w:pPr>
      <w:r w:rsidRPr="00FA1581">
        <w:rPr>
          <w:rFonts w:ascii="Verdana" w:hAnsi="Verdana"/>
          <w:sz w:val="22"/>
          <w:szCs w:val="22"/>
        </w:rPr>
        <w:t>4.</w:t>
      </w:r>
      <w:r w:rsidRPr="00FA1581">
        <w:rPr>
          <w:rFonts w:ascii="Verdana" w:hAnsi="Verdana"/>
          <w:sz w:val="22"/>
          <w:szCs w:val="22"/>
        </w:rPr>
        <w:tab/>
        <w:t>TDEM should consider including this position in their agency’s Legislative Appropriations Request for the 2019-2020 biennium.</w:t>
      </w:r>
    </w:p>
    <w:p w14:paraId="08121746" w14:textId="77777777" w:rsidR="00A84729" w:rsidRPr="00FA1581" w:rsidRDefault="00A84729" w:rsidP="00373DCC">
      <w:pPr>
        <w:spacing w:after="0" w:line="240" w:lineRule="auto"/>
        <w:rPr>
          <w:rFonts w:ascii="Verdana" w:hAnsi="Verdana"/>
          <w:sz w:val="22"/>
          <w:szCs w:val="22"/>
        </w:rPr>
      </w:pPr>
    </w:p>
    <w:p w14:paraId="3913811E" w14:textId="66BD30BC" w:rsidR="002E0F4B" w:rsidRPr="00FA1581" w:rsidRDefault="0045398C" w:rsidP="002A276A">
      <w:pPr>
        <w:spacing w:after="0"/>
        <w:rPr>
          <w:rFonts w:ascii="Verdana" w:hAnsi="Verdana"/>
          <w:b/>
          <w:sz w:val="22"/>
          <w:szCs w:val="22"/>
        </w:rPr>
      </w:pPr>
      <w:r w:rsidRPr="00FA1581">
        <w:rPr>
          <w:rFonts w:ascii="Verdana" w:hAnsi="Verdana"/>
          <w:b/>
          <w:sz w:val="22"/>
          <w:szCs w:val="22"/>
        </w:rPr>
        <w:t>D</w:t>
      </w:r>
      <w:r w:rsidR="00A84729" w:rsidRPr="00FA1581">
        <w:rPr>
          <w:rFonts w:ascii="Verdana" w:hAnsi="Verdana"/>
          <w:b/>
          <w:sz w:val="22"/>
          <w:szCs w:val="22"/>
        </w:rPr>
        <w:t xml:space="preserve">uties and </w:t>
      </w:r>
      <w:r w:rsidRPr="00FA1581">
        <w:rPr>
          <w:rFonts w:ascii="Verdana" w:hAnsi="Verdana"/>
          <w:b/>
          <w:sz w:val="22"/>
          <w:szCs w:val="22"/>
        </w:rPr>
        <w:t xml:space="preserve">Responsibilities </w:t>
      </w:r>
      <w:r w:rsidR="00A84729" w:rsidRPr="00FA1581">
        <w:rPr>
          <w:rFonts w:ascii="Verdana" w:hAnsi="Verdana"/>
          <w:b/>
          <w:sz w:val="22"/>
          <w:szCs w:val="22"/>
        </w:rPr>
        <w:t xml:space="preserve">of </w:t>
      </w:r>
      <w:r w:rsidRPr="00FA1581">
        <w:rPr>
          <w:rFonts w:ascii="Verdana" w:hAnsi="Verdana"/>
          <w:b/>
          <w:sz w:val="22"/>
          <w:szCs w:val="22"/>
        </w:rPr>
        <w:t>Position</w:t>
      </w:r>
      <w:r w:rsidR="00A84729" w:rsidRPr="00FA1581">
        <w:rPr>
          <w:rFonts w:ascii="Verdana" w:hAnsi="Verdana"/>
          <w:b/>
          <w:sz w:val="22"/>
          <w:szCs w:val="22"/>
        </w:rPr>
        <w:t>:</w:t>
      </w:r>
    </w:p>
    <w:p w14:paraId="3C4D2794" w14:textId="5F859D04" w:rsidR="00BB4A91" w:rsidRPr="00FA1581" w:rsidRDefault="00BB4A91" w:rsidP="00C55A1A">
      <w:pPr>
        <w:pStyle w:val="ListParagraph"/>
        <w:numPr>
          <w:ilvl w:val="0"/>
          <w:numId w:val="2"/>
        </w:numPr>
        <w:ind w:left="360"/>
        <w:rPr>
          <w:rFonts w:cs="Times New Roman"/>
          <w:sz w:val="22"/>
        </w:rPr>
      </w:pPr>
      <w:r w:rsidRPr="00FA1581">
        <w:rPr>
          <w:rFonts w:cs="Times New Roman"/>
          <w:sz w:val="22"/>
        </w:rPr>
        <w:t xml:space="preserve">TRAINING: </w:t>
      </w:r>
      <w:r w:rsidR="00A84729" w:rsidRPr="00FA1581">
        <w:rPr>
          <w:rFonts w:cs="Times New Roman"/>
          <w:sz w:val="22"/>
        </w:rPr>
        <w:t>Develop, implement, maintain</w:t>
      </w:r>
      <w:r w:rsidRPr="00FA1581">
        <w:rPr>
          <w:rFonts w:cs="Times New Roman"/>
          <w:sz w:val="22"/>
        </w:rPr>
        <w:t>,</w:t>
      </w:r>
      <w:r w:rsidR="00A84729" w:rsidRPr="00FA1581">
        <w:rPr>
          <w:rFonts w:cs="Times New Roman"/>
          <w:sz w:val="22"/>
        </w:rPr>
        <w:t xml:space="preserve"> and deliver training on disabilities and functional and access needs for emergency management officials</w:t>
      </w:r>
      <w:r w:rsidRPr="00FA1581">
        <w:rPr>
          <w:rFonts w:cs="Times New Roman"/>
          <w:sz w:val="22"/>
        </w:rPr>
        <w:t>, planners,</w:t>
      </w:r>
      <w:r w:rsidR="00A84729" w:rsidRPr="00FA1581">
        <w:rPr>
          <w:rFonts w:cs="Times New Roman"/>
          <w:sz w:val="22"/>
        </w:rPr>
        <w:t xml:space="preserve"> first responders</w:t>
      </w:r>
      <w:r w:rsidRPr="00FA1581">
        <w:rPr>
          <w:rFonts w:cs="Times New Roman"/>
          <w:sz w:val="22"/>
        </w:rPr>
        <w:t>, Voluntary Agencies Active in Disaster (VOADs), and disability-related organizations</w:t>
      </w:r>
      <w:r w:rsidR="00A84729" w:rsidRPr="00FA1581">
        <w:rPr>
          <w:rFonts w:cs="Times New Roman"/>
          <w:sz w:val="22"/>
        </w:rPr>
        <w:t>.</w:t>
      </w:r>
      <w:r w:rsidRPr="00FA1581">
        <w:rPr>
          <w:sz w:val="22"/>
        </w:rPr>
        <w:t xml:space="preserve"> </w:t>
      </w:r>
      <w:r w:rsidR="00772E76" w:rsidRPr="00FA1581">
        <w:rPr>
          <w:rFonts w:cs="Times New Roman"/>
          <w:sz w:val="22"/>
        </w:rPr>
        <w:t>S</w:t>
      </w:r>
      <w:r w:rsidR="00C55A1A" w:rsidRPr="00FA1581">
        <w:rPr>
          <w:rFonts w:cs="Times New Roman"/>
          <w:sz w:val="22"/>
        </w:rPr>
        <w:t>upport training capacity on the whole community approach, with</w:t>
      </w:r>
      <w:r w:rsidR="00772E76" w:rsidRPr="00FA1581">
        <w:rPr>
          <w:rFonts w:cs="Times New Roman"/>
          <w:sz w:val="22"/>
        </w:rPr>
        <w:t xml:space="preserve"> a specific focus on disability-</w:t>
      </w:r>
      <w:r w:rsidR="00C55A1A" w:rsidRPr="00FA1581">
        <w:rPr>
          <w:rFonts w:cs="Times New Roman"/>
          <w:sz w:val="22"/>
        </w:rPr>
        <w:t>related needs. Would lend subject-matter expertise on training exercises</w:t>
      </w:r>
      <w:r w:rsidR="00772E76" w:rsidRPr="00FA1581">
        <w:rPr>
          <w:rFonts w:cs="Times New Roman"/>
          <w:sz w:val="22"/>
        </w:rPr>
        <w:t xml:space="preserve"> and training tools</w:t>
      </w:r>
      <w:r w:rsidR="00C55A1A" w:rsidRPr="00FA1581">
        <w:rPr>
          <w:rFonts w:cs="Times New Roman"/>
          <w:sz w:val="22"/>
        </w:rPr>
        <w:t xml:space="preserve">. </w:t>
      </w:r>
    </w:p>
    <w:p w14:paraId="76F41DC6" w14:textId="00457D44" w:rsidR="00A84729" w:rsidRPr="00FA1581" w:rsidRDefault="00BB4A91" w:rsidP="002A276A">
      <w:pPr>
        <w:pStyle w:val="ListParagraph"/>
        <w:numPr>
          <w:ilvl w:val="0"/>
          <w:numId w:val="2"/>
        </w:numPr>
        <w:ind w:left="360" w:right="-180"/>
        <w:rPr>
          <w:rFonts w:cs="Times New Roman"/>
          <w:sz w:val="22"/>
        </w:rPr>
      </w:pPr>
      <w:r w:rsidRPr="00FA1581">
        <w:rPr>
          <w:rFonts w:cs="Times New Roman"/>
          <w:sz w:val="22"/>
        </w:rPr>
        <w:t>TECHNICAL ASSISTANCE: Oversee statewide program activities and provide technical guidance to planners, state and district coordinators, state and local government agencies and others to coordinate emergency management preparedness</w:t>
      </w:r>
      <w:r w:rsidR="00C55A1A" w:rsidRPr="00FA1581">
        <w:rPr>
          <w:rFonts w:cs="Times New Roman"/>
          <w:sz w:val="22"/>
        </w:rPr>
        <w:t>,</w:t>
      </w:r>
      <w:r w:rsidRPr="00FA1581">
        <w:rPr>
          <w:rFonts w:cs="Times New Roman"/>
          <w:sz w:val="22"/>
        </w:rPr>
        <w:t xml:space="preserve"> response</w:t>
      </w:r>
      <w:r w:rsidR="00C55A1A" w:rsidRPr="00FA1581">
        <w:rPr>
          <w:rFonts w:cs="Times New Roman"/>
          <w:sz w:val="22"/>
        </w:rPr>
        <w:t xml:space="preserve">, and </w:t>
      </w:r>
      <w:r w:rsidR="00F22C8C" w:rsidRPr="00FA1581">
        <w:rPr>
          <w:rFonts w:cs="Times New Roman"/>
          <w:sz w:val="22"/>
        </w:rPr>
        <w:t>recovery</w:t>
      </w:r>
      <w:r w:rsidRPr="00FA1581">
        <w:rPr>
          <w:rFonts w:cs="Times New Roman"/>
          <w:sz w:val="22"/>
        </w:rPr>
        <w:t xml:space="preserve"> activities for people with disabilities.  </w:t>
      </w:r>
    </w:p>
    <w:p w14:paraId="0E2719F0" w14:textId="77777777" w:rsidR="00A84729" w:rsidRPr="00FA1581" w:rsidRDefault="00BB4A91" w:rsidP="002A276A">
      <w:pPr>
        <w:pStyle w:val="ListParagraph"/>
        <w:numPr>
          <w:ilvl w:val="0"/>
          <w:numId w:val="2"/>
        </w:numPr>
        <w:ind w:left="360"/>
        <w:rPr>
          <w:rFonts w:cs="Times New Roman"/>
          <w:sz w:val="22"/>
        </w:rPr>
      </w:pPr>
      <w:r w:rsidRPr="00FA1581">
        <w:rPr>
          <w:rFonts w:cs="Times New Roman"/>
          <w:sz w:val="22"/>
        </w:rPr>
        <w:t xml:space="preserve">PLANNING: </w:t>
      </w:r>
      <w:r w:rsidR="00A84729" w:rsidRPr="00FA1581">
        <w:rPr>
          <w:rFonts w:cs="Times New Roman"/>
          <w:sz w:val="22"/>
        </w:rPr>
        <w:t>Ensur</w:t>
      </w:r>
      <w:r w:rsidRPr="00FA1581">
        <w:rPr>
          <w:rFonts w:cs="Times New Roman"/>
          <w:sz w:val="22"/>
        </w:rPr>
        <w:t>e</w:t>
      </w:r>
      <w:r w:rsidR="00A84729" w:rsidRPr="00FA1581">
        <w:rPr>
          <w:rFonts w:cs="Times New Roman"/>
          <w:sz w:val="22"/>
        </w:rPr>
        <w:t xml:space="preserve"> state and local emergency plans include the needs of people with disabilities.</w:t>
      </w:r>
    </w:p>
    <w:p w14:paraId="0D1AB9F9" w14:textId="439F4AC5" w:rsidR="00A84729" w:rsidRPr="00FA1581" w:rsidRDefault="00BB4A91" w:rsidP="002A276A">
      <w:pPr>
        <w:pStyle w:val="ListParagraph"/>
        <w:numPr>
          <w:ilvl w:val="0"/>
          <w:numId w:val="2"/>
        </w:numPr>
        <w:ind w:left="360"/>
        <w:rPr>
          <w:rFonts w:cs="Times New Roman"/>
          <w:sz w:val="22"/>
        </w:rPr>
      </w:pPr>
      <w:r w:rsidRPr="00FA1581">
        <w:rPr>
          <w:rFonts w:cs="Times New Roman"/>
          <w:sz w:val="22"/>
        </w:rPr>
        <w:t xml:space="preserve">PARTNERSHIPS:  Establish and maintain an effective network of contacts with TDEM staff, local government personnel, state and federal agencies, and non-governmental organizations. </w:t>
      </w:r>
      <w:proofErr w:type="gramStart"/>
      <w:r w:rsidRPr="00FA1581">
        <w:rPr>
          <w:rFonts w:cs="Times New Roman"/>
          <w:sz w:val="22"/>
        </w:rPr>
        <w:t>In particular, promote</w:t>
      </w:r>
      <w:proofErr w:type="gramEnd"/>
      <w:r w:rsidRPr="00FA1581">
        <w:rPr>
          <w:rFonts w:cs="Times New Roman"/>
          <w:sz w:val="22"/>
        </w:rPr>
        <w:t xml:space="preserve"> emergency preparedness for Texans with disabilities by leveraging partnerships with state and local disabilities organizations</w:t>
      </w:r>
      <w:r w:rsidR="00C55A1A" w:rsidRPr="00FA1581">
        <w:rPr>
          <w:rFonts w:cs="Times New Roman"/>
          <w:sz w:val="22"/>
        </w:rPr>
        <w:t xml:space="preserve"> and drawing from </w:t>
      </w:r>
      <w:r w:rsidR="00F22C8C" w:rsidRPr="00FA1581">
        <w:rPr>
          <w:rFonts w:cs="Times New Roman"/>
          <w:sz w:val="22"/>
        </w:rPr>
        <w:t>existing</w:t>
      </w:r>
      <w:r w:rsidR="00C55A1A" w:rsidRPr="00FA1581">
        <w:rPr>
          <w:rFonts w:cs="Times New Roman"/>
          <w:sz w:val="22"/>
        </w:rPr>
        <w:t xml:space="preserve"> expertise and knowledge of local jurisdictions</w:t>
      </w:r>
      <w:r w:rsidRPr="00FA1581">
        <w:rPr>
          <w:rFonts w:cs="Times New Roman"/>
          <w:sz w:val="22"/>
        </w:rPr>
        <w:t>.</w:t>
      </w:r>
    </w:p>
    <w:p w14:paraId="74441BA8" w14:textId="2EFCFC7B" w:rsidR="00373DCC" w:rsidRPr="00FA1581" w:rsidRDefault="00BB4A91" w:rsidP="002A276A">
      <w:pPr>
        <w:pStyle w:val="ListParagraph"/>
        <w:numPr>
          <w:ilvl w:val="0"/>
          <w:numId w:val="2"/>
        </w:numPr>
        <w:ind w:left="360"/>
        <w:rPr>
          <w:rFonts w:cs="Times New Roman"/>
          <w:sz w:val="22"/>
        </w:rPr>
      </w:pPr>
      <w:r w:rsidRPr="00FA1581">
        <w:rPr>
          <w:rFonts w:cs="Times New Roman"/>
          <w:sz w:val="22"/>
        </w:rPr>
        <w:t>DTF:  Support the Texas Disability Task Force and promote establishment of access and functional needs advisory committees in local jurisdictions throughout the state.</w:t>
      </w:r>
    </w:p>
    <w:p w14:paraId="2E05237B" w14:textId="54F4C5E8" w:rsidR="003D7644" w:rsidRPr="00FA1581" w:rsidRDefault="00F22C8C" w:rsidP="003D7644">
      <w:pPr>
        <w:pStyle w:val="ListParagraph"/>
        <w:numPr>
          <w:ilvl w:val="0"/>
          <w:numId w:val="2"/>
        </w:numPr>
        <w:ind w:left="360"/>
        <w:rPr>
          <w:rFonts w:cs="Times New Roman"/>
          <w:sz w:val="22"/>
        </w:rPr>
        <w:sectPr w:rsidR="003D7644" w:rsidRPr="00FA1581" w:rsidSect="00AE7AD0">
          <w:headerReference w:type="default" r:id="rId8"/>
          <w:pgSz w:w="12240" w:h="15840"/>
          <w:pgMar w:top="576" w:right="1080" w:bottom="720" w:left="1080" w:header="432" w:footer="720" w:gutter="0"/>
          <w:cols w:space="720"/>
          <w:docGrid w:linePitch="360"/>
        </w:sectPr>
      </w:pPr>
      <w:r w:rsidRPr="00FA1581">
        <w:rPr>
          <w:rFonts w:cs="Times New Roman"/>
          <w:sz w:val="22"/>
        </w:rPr>
        <w:t xml:space="preserve">COORDINATION: </w:t>
      </w:r>
      <w:r w:rsidR="00C55A1A" w:rsidRPr="00FA1581">
        <w:rPr>
          <w:rFonts w:cs="Times New Roman"/>
          <w:sz w:val="22"/>
        </w:rPr>
        <w:t xml:space="preserve">The needs of people with disabilities often </w:t>
      </w:r>
      <w:r w:rsidRPr="00FA1581">
        <w:rPr>
          <w:rFonts w:cs="Times New Roman"/>
          <w:sz w:val="22"/>
        </w:rPr>
        <w:t>intersect</w:t>
      </w:r>
      <w:r w:rsidR="00C55A1A" w:rsidRPr="00FA1581">
        <w:rPr>
          <w:rFonts w:cs="Times New Roman"/>
          <w:sz w:val="22"/>
        </w:rPr>
        <w:t xml:space="preserve"> with those </w:t>
      </w:r>
      <w:r w:rsidRPr="00FA1581">
        <w:rPr>
          <w:rFonts w:cs="Times New Roman"/>
          <w:sz w:val="22"/>
        </w:rPr>
        <w:t xml:space="preserve">of </w:t>
      </w:r>
      <w:r w:rsidR="00C55A1A" w:rsidRPr="00FA1581">
        <w:rPr>
          <w:rFonts w:cs="Times New Roman"/>
          <w:sz w:val="22"/>
        </w:rPr>
        <w:t xml:space="preserve">individuals with other access and functional needs. The position would support </w:t>
      </w:r>
      <w:r w:rsidRPr="00FA1581">
        <w:rPr>
          <w:rFonts w:cs="Times New Roman"/>
          <w:sz w:val="22"/>
        </w:rPr>
        <w:t xml:space="preserve">other functions with TDEM addressing preparedness, response, and recovery for individuals with </w:t>
      </w:r>
      <w:r w:rsidR="003D7644" w:rsidRPr="00FA1581">
        <w:rPr>
          <w:rFonts w:cs="Times New Roman"/>
          <w:sz w:val="22"/>
        </w:rPr>
        <w:t>access and functional needs.</w:t>
      </w:r>
    </w:p>
    <w:p w14:paraId="24BA0198" w14:textId="77777777" w:rsidR="003D7644" w:rsidRPr="00FA1581" w:rsidRDefault="003D7644">
      <w:pPr>
        <w:rPr>
          <w:rFonts w:ascii="Verdana" w:hAnsi="Verdana"/>
          <w:sz w:val="22"/>
        </w:rPr>
        <w:sectPr w:rsidR="003D7644" w:rsidRPr="00FA1581" w:rsidSect="004A685F">
          <w:pgSz w:w="12240" w:h="15840"/>
          <w:pgMar w:top="1152" w:right="1080" w:bottom="1008" w:left="1080" w:header="432" w:footer="720" w:gutter="0"/>
          <w:cols w:num="2" w:space="720"/>
          <w:docGrid w:linePitch="360"/>
        </w:sectPr>
      </w:pPr>
    </w:p>
    <w:p w14:paraId="13DBEE8C" w14:textId="77777777" w:rsidR="00B5081F" w:rsidRDefault="00B5081F" w:rsidP="004A685F">
      <w:pPr>
        <w:jc w:val="center"/>
        <w:rPr>
          <w:rFonts w:ascii="Verdana" w:hAnsi="Verdana"/>
          <w:b/>
        </w:rPr>
      </w:pPr>
      <w:r>
        <w:rPr>
          <w:rFonts w:ascii="Verdana" w:hAnsi="Verdana"/>
          <w:b/>
        </w:rPr>
        <w:t>APPENDIX A</w:t>
      </w:r>
    </w:p>
    <w:p w14:paraId="328221A0" w14:textId="775B2EE6" w:rsidR="00772E76" w:rsidRPr="00FA1581" w:rsidRDefault="00974D7E" w:rsidP="004A685F">
      <w:pPr>
        <w:jc w:val="center"/>
        <w:rPr>
          <w:rFonts w:ascii="Verdana" w:hAnsi="Verdana"/>
          <w:b/>
        </w:rPr>
      </w:pPr>
      <w:r w:rsidRPr="00FA1581">
        <w:rPr>
          <w:rFonts w:ascii="Verdana" w:hAnsi="Verdana"/>
          <w:b/>
        </w:rPr>
        <w:t>Cur</w:t>
      </w:r>
      <w:r w:rsidR="00F22C8C" w:rsidRPr="00FA1581">
        <w:rPr>
          <w:rFonts w:ascii="Verdana" w:hAnsi="Verdana"/>
          <w:b/>
        </w:rPr>
        <w:t>rent and Past Member</w:t>
      </w:r>
      <w:r w:rsidRPr="00FA1581">
        <w:rPr>
          <w:rFonts w:ascii="Verdana" w:hAnsi="Verdana"/>
          <w:b/>
        </w:rPr>
        <w:t xml:space="preserve"> Organizations and Agencies of the</w:t>
      </w:r>
      <w:r w:rsidR="003D7644" w:rsidRPr="00FA1581">
        <w:rPr>
          <w:rFonts w:ascii="Verdana" w:hAnsi="Verdana"/>
          <w:b/>
        </w:rPr>
        <w:t xml:space="preserve"> Disability Task Force</w:t>
      </w:r>
    </w:p>
    <w:p w14:paraId="7FDCE6FD" w14:textId="77777777" w:rsidR="003D7644" w:rsidRPr="00FA1581" w:rsidRDefault="003D7644" w:rsidP="004A685F">
      <w:pPr>
        <w:jc w:val="center"/>
        <w:rPr>
          <w:rFonts w:ascii="Verdana" w:hAnsi="Verdana"/>
          <w:sz w:val="22"/>
          <w:szCs w:val="22"/>
        </w:rPr>
      </w:pPr>
    </w:p>
    <w:p w14:paraId="30B45A01" w14:textId="1D36C0AE" w:rsidR="004A685F" w:rsidRPr="00FA1581" w:rsidRDefault="004A685F" w:rsidP="003D7644">
      <w:pPr>
        <w:numPr>
          <w:ilvl w:val="0"/>
          <w:numId w:val="4"/>
        </w:numPr>
        <w:spacing w:after="0" w:line="240" w:lineRule="auto"/>
        <w:contextualSpacing/>
        <w:rPr>
          <w:rFonts w:ascii="Verdana" w:eastAsia="Times New Roman" w:hAnsi="Verdana"/>
        </w:rPr>
      </w:pPr>
      <w:r w:rsidRPr="00FA1581">
        <w:rPr>
          <w:rFonts w:ascii="Verdana" w:eastAsiaTheme="minorEastAsia" w:hAnsi="Verdana" w:cstheme="minorBidi"/>
          <w:color w:val="000000" w:themeColor="text1"/>
          <w:kern w:val="24"/>
        </w:rPr>
        <w:t>American Red Cross</w:t>
      </w:r>
      <w:r w:rsidR="003D7644" w:rsidRPr="00FA1581">
        <w:rPr>
          <w:rFonts w:ascii="Verdana" w:eastAsiaTheme="minorEastAsia" w:hAnsi="Verdana" w:cstheme="minorBidi"/>
          <w:color w:val="000000" w:themeColor="text1"/>
          <w:kern w:val="24"/>
        </w:rPr>
        <w:tab/>
      </w:r>
      <w:r w:rsidR="003D7644" w:rsidRPr="00FA1581">
        <w:rPr>
          <w:rFonts w:ascii="Verdana" w:eastAsiaTheme="minorEastAsia" w:hAnsi="Verdana" w:cstheme="minorBidi"/>
          <w:color w:val="000000" w:themeColor="text1"/>
          <w:kern w:val="24"/>
        </w:rPr>
        <w:tab/>
      </w:r>
    </w:p>
    <w:p w14:paraId="11EDA11F" w14:textId="77777777" w:rsidR="004A685F" w:rsidRPr="00FA1581" w:rsidRDefault="004A685F" w:rsidP="003D7644">
      <w:pPr>
        <w:numPr>
          <w:ilvl w:val="0"/>
          <w:numId w:val="4"/>
        </w:numPr>
        <w:spacing w:after="0" w:line="240" w:lineRule="auto"/>
        <w:contextualSpacing/>
        <w:rPr>
          <w:rFonts w:ascii="Verdana" w:eastAsia="Times New Roman" w:hAnsi="Verdana"/>
        </w:rPr>
      </w:pPr>
      <w:r w:rsidRPr="00FA1581">
        <w:rPr>
          <w:rFonts w:ascii="Verdana" w:eastAsiaTheme="minorEastAsia" w:hAnsi="Verdana" w:cstheme="minorBidi"/>
          <w:color w:val="000000" w:themeColor="text1"/>
          <w:kern w:val="24"/>
        </w:rPr>
        <w:t>American Foundation for the Blind - Texas</w:t>
      </w:r>
    </w:p>
    <w:p w14:paraId="644AE40C" w14:textId="77777777" w:rsidR="004A685F" w:rsidRPr="00FA1581" w:rsidRDefault="004A685F" w:rsidP="003D7644">
      <w:pPr>
        <w:numPr>
          <w:ilvl w:val="0"/>
          <w:numId w:val="4"/>
        </w:numPr>
        <w:spacing w:after="0" w:line="240" w:lineRule="auto"/>
        <w:contextualSpacing/>
        <w:rPr>
          <w:rFonts w:ascii="Verdana" w:eastAsia="Times New Roman" w:hAnsi="Verdana"/>
        </w:rPr>
      </w:pPr>
      <w:r w:rsidRPr="00FA1581">
        <w:rPr>
          <w:rFonts w:ascii="Verdana" w:eastAsiaTheme="minorEastAsia" w:hAnsi="Verdana" w:cstheme="minorBidi"/>
          <w:color w:val="000000" w:themeColor="text1"/>
          <w:kern w:val="24"/>
        </w:rPr>
        <w:t>City of McKinney, Office of Emergency Management Coordinator</w:t>
      </w:r>
    </w:p>
    <w:p w14:paraId="281B8CA2" w14:textId="77777777" w:rsidR="004A685F" w:rsidRPr="00FA1581" w:rsidRDefault="004A685F" w:rsidP="003D7644">
      <w:pPr>
        <w:numPr>
          <w:ilvl w:val="0"/>
          <w:numId w:val="4"/>
        </w:numPr>
        <w:spacing w:after="0" w:line="240" w:lineRule="auto"/>
        <w:contextualSpacing/>
        <w:rPr>
          <w:rFonts w:ascii="Verdana" w:eastAsia="Times New Roman" w:hAnsi="Verdana"/>
        </w:rPr>
      </w:pPr>
      <w:r w:rsidRPr="00FA1581">
        <w:rPr>
          <w:rFonts w:ascii="Verdana" w:eastAsiaTheme="minorEastAsia" w:hAnsi="Verdana" w:cstheme="minorBidi"/>
          <w:color w:val="000000" w:themeColor="text1"/>
          <w:kern w:val="24"/>
        </w:rPr>
        <w:t>Coalition of Texans with Disabilities</w:t>
      </w:r>
    </w:p>
    <w:p w14:paraId="43EEE863" w14:textId="77777777" w:rsidR="004A685F" w:rsidRPr="00FA1581" w:rsidRDefault="004A685F" w:rsidP="003D7644">
      <w:pPr>
        <w:numPr>
          <w:ilvl w:val="0"/>
          <w:numId w:val="4"/>
        </w:numPr>
        <w:spacing w:after="0" w:line="240" w:lineRule="auto"/>
        <w:contextualSpacing/>
        <w:rPr>
          <w:rFonts w:ascii="Verdana" w:eastAsia="Times New Roman" w:hAnsi="Verdana"/>
        </w:rPr>
      </w:pPr>
      <w:r w:rsidRPr="00FA1581">
        <w:rPr>
          <w:rFonts w:ascii="Verdana" w:eastAsiaTheme="minorEastAsia" w:hAnsi="Verdana" w:cstheme="minorBidi"/>
          <w:color w:val="000000" w:themeColor="text1"/>
          <w:kern w:val="24"/>
        </w:rPr>
        <w:t>City of Corpus Christi Office of Emergency Management</w:t>
      </w:r>
    </w:p>
    <w:p w14:paraId="5D8C887A" w14:textId="77777777" w:rsidR="004A685F" w:rsidRPr="00FA1581" w:rsidRDefault="004A685F" w:rsidP="003D7644">
      <w:pPr>
        <w:numPr>
          <w:ilvl w:val="0"/>
          <w:numId w:val="4"/>
        </w:numPr>
        <w:spacing w:after="0" w:line="240" w:lineRule="auto"/>
        <w:contextualSpacing/>
        <w:rPr>
          <w:rFonts w:ascii="Verdana" w:eastAsia="Times New Roman" w:hAnsi="Verdana"/>
        </w:rPr>
      </w:pPr>
      <w:r w:rsidRPr="00FA1581">
        <w:rPr>
          <w:rFonts w:ascii="Verdana" w:eastAsiaTheme="minorEastAsia" w:hAnsi="Verdana" w:cstheme="minorBidi"/>
          <w:color w:val="000000" w:themeColor="text1"/>
          <w:kern w:val="24"/>
        </w:rPr>
        <w:t>FEMA Disability Integration Coordinator Region VI</w:t>
      </w:r>
    </w:p>
    <w:p w14:paraId="735C8C1B" w14:textId="77777777" w:rsidR="004A685F" w:rsidRPr="00FA1581" w:rsidRDefault="004A685F" w:rsidP="003D7644">
      <w:pPr>
        <w:numPr>
          <w:ilvl w:val="0"/>
          <w:numId w:val="4"/>
        </w:numPr>
        <w:spacing w:after="0" w:line="240" w:lineRule="auto"/>
        <w:contextualSpacing/>
        <w:rPr>
          <w:rFonts w:ascii="Verdana" w:eastAsia="Times New Roman" w:hAnsi="Verdana"/>
        </w:rPr>
      </w:pPr>
      <w:r w:rsidRPr="00FA1581">
        <w:rPr>
          <w:rFonts w:ascii="Verdana" w:eastAsiaTheme="minorEastAsia" w:hAnsi="Verdana" w:cstheme="minorBidi"/>
          <w:color w:val="000000" w:themeColor="text1"/>
          <w:kern w:val="24"/>
        </w:rPr>
        <w:t xml:space="preserve">Harris County Office of Homeland Security &amp; Emergency Management </w:t>
      </w:r>
    </w:p>
    <w:p w14:paraId="56F2B016" w14:textId="77777777" w:rsidR="00A631BF" w:rsidRPr="00FA1581" w:rsidRDefault="005F165B" w:rsidP="003D7644">
      <w:pPr>
        <w:numPr>
          <w:ilvl w:val="0"/>
          <w:numId w:val="4"/>
        </w:numPr>
        <w:spacing w:after="0" w:line="240" w:lineRule="auto"/>
        <w:contextualSpacing/>
        <w:rPr>
          <w:rFonts w:ascii="Verdana" w:eastAsia="Times New Roman" w:hAnsi="Verdana"/>
        </w:rPr>
      </w:pPr>
      <w:r w:rsidRPr="00FA1581">
        <w:rPr>
          <w:rFonts w:ascii="Verdana" w:eastAsia="Times New Roman" w:hAnsi="Verdana"/>
        </w:rPr>
        <w:t>Mayor’s Committees on People with Disabilities</w:t>
      </w:r>
    </w:p>
    <w:p w14:paraId="375A215F" w14:textId="77777777" w:rsidR="00A631BF" w:rsidRPr="00FA1581" w:rsidRDefault="005F165B" w:rsidP="003D7644">
      <w:pPr>
        <w:numPr>
          <w:ilvl w:val="0"/>
          <w:numId w:val="4"/>
        </w:numPr>
        <w:spacing w:after="0" w:line="240" w:lineRule="auto"/>
        <w:contextualSpacing/>
        <w:rPr>
          <w:rFonts w:ascii="Verdana" w:eastAsia="Times New Roman" w:hAnsi="Verdana"/>
        </w:rPr>
      </w:pPr>
      <w:r w:rsidRPr="00FA1581">
        <w:rPr>
          <w:rFonts w:ascii="Verdana" w:eastAsia="Times New Roman" w:hAnsi="Verdana"/>
        </w:rPr>
        <w:t>National Federation of the Blind of Texas</w:t>
      </w:r>
    </w:p>
    <w:p w14:paraId="17BF0A23" w14:textId="77777777" w:rsidR="00A631BF" w:rsidRPr="00FA1581" w:rsidRDefault="005F165B" w:rsidP="003D7644">
      <w:pPr>
        <w:numPr>
          <w:ilvl w:val="0"/>
          <w:numId w:val="4"/>
        </w:numPr>
        <w:spacing w:after="0" w:line="240" w:lineRule="auto"/>
        <w:contextualSpacing/>
        <w:rPr>
          <w:rFonts w:ascii="Verdana" w:eastAsia="Times New Roman" w:hAnsi="Verdana"/>
        </w:rPr>
      </w:pPr>
      <w:r w:rsidRPr="00FA1581">
        <w:rPr>
          <w:rFonts w:ascii="Verdana" w:eastAsia="Times New Roman" w:hAnsi="Verdana"/>
        </w:rPr>
        <w:t>North Central Texas Council of Governments</w:t>
      </w:r>
    </w:p>
    <w:p w14:paraId="16F4A547" w14:textId="77777777" w:rsidR="00A631BF" w:rsidRPr="00FA1581" w:rsidRDefault="005F165B" w:rsidP="003D7644">
      <w:pPr>
        <w:numPr>
          <w:ilvl w:val="0"/>
          <w:numId w:val="4"/>
        </w:numPr>
        <w:spacing w:after="0" w:line="240" w:lineRule="auto"/>
        <w:contextualSpacing/>
        <w:rPr>
          <w:rFonts w:ascii="Verdana" w:eastAsia="Times New Roman" w:hAnsi="Verdana"/>
        </w:rPr>
      </w:pPr>
      <w:r w:rsidRPr="00FA1581">
        <w:rPr>
          <w:rFonts w:ascii="Verdana" w:eastAsia="Times New Roman" w:hAnsi="Verdana"/>
        </w:rPr>
        <w:t>Texas A&amp;M University, Center on Disability and Development</w:t>
      </w:r>
    </w:p>
    <w:p w14:paraId="42754FFD" w14:textId="77777777" w:rsidR="00A631BF" w:rsidRPr="00FA1581" w:rsidRDefault="005F165B" w:rsidP="003D7644">
      <w:pPr>
        <w:numPr>
          <w:ilvl w:val="0"/>
          <w:numId w:val="4"/>
        </w:numPr>
        <w:spacing w:after="0" w:line="240" w:lineRule="auto"/>
        <w:contextualSpacing/>
        <w:rPr>
          <w:rFonts w:ascii="Verdana" w:eastAsia="Times New Roman" w:hAnsi="Verdana"/>
        </w:rPr>
      </w:pPr>
      <w:r w:rsidRPr="00FA1581">
        <w:rPr>
          <w:rFonts w:ascii="Verdana" w:eastAsia="Times New Roman" w:hAnsi="Verdana"/>
        </w:rPr>
        <w:t>Texas Animal Health Commission</w:t>
      </w:r>
    </w:p>
    <w:p w14:paraId="298A636B" w14:textId="77777777" w:rsidR="00A631BF" w:rsidRPr="00FA1581" w:rsidRDefault="005F165B" w:rsidP="003D7644">
      <w:pPr>
        <w:numPr>
          <w:ilvl w:val="0"/>
          <w:numId w:val="4"/>
        </w:numPr>
        <w:spacing w:after="0" w:line="240" w:lineRule="auto"/>
        <w:contextualSpacing/>
        <w:rPr>
          <w:rFonts w:ascii="Verdana" w:eastAsia="Times New Roman" w:hAnsi="Verdana"/>
        </w:rPr>
      </w:pPr>
      <w:r w:rsidRPr="00FA1581">
        <w:rPr>
          <w:rFonts w:ascii="Verdana" w:eastAsia="Times New Roman" w:hAnsi="Verdana"/>
        </w:rPr>
        <w:t>Texas Association of Regional Councils</w:t>
      </w:r>
    </w:p>
    <w:p w14:paraId="3D14D6CA" w14:textId="77777777" w:rsidR="00A631BF" w:rsidRPr="00FA1581" w:rsidRDefault="005F165B" w:rsidP="003D7644">
      <w:pPr>
        <w:numPr>
          <w:ilvl w:val="0"/>
          <w:numId w:val="4"/>
        </w:numPr>
        <w:spacing w:after="0" w:line="240" w:lineRule="auto"/>
        <w:contextualSpacing/>
        <w:rPr>
          <w:rFonts w:ascii="Verdana" w:eastAsia="Times New Roman" w:hAnsi="Verdana"/>
        </w:rPr>
      </w:pPr>
      <w:r w:rsidRPr="00FA1581">
        <w:rPr>
          <w:rFonts w:ascii="Verdana" w:eastAsia="Times New Roman" w:hAnsi="Verdana"/>
        </w:rPr>
        <w:t>Texas Association of the Deaf</w:t>
      </w:r>
    </w:p>
    <w:p w14:paraId="6380D1D5" w14:textId="77777777" w:rsidR="00A631BF" w:rsidRPr="00FA1581" w:rsidRDefault="005F165B" w:rsidP="003D7644">
      <w:pPr>
        <w:numPr>
          <w:ilvl w:val="0"/>
          <w:numId w:val="4"/>
        </w:numPr>
        <w:spacing w:after="0" w:line="240" w:lineRule="auto"/>
        <w:contextualSpacing/>
        <w:rPr>
          <w:rFonts w:ascii="Verdana" w:eastAsia="Times New Roman" w:hAnsi="Verdana"/>
        </w:rPr>
      </w:pPr>
      <w:r w:rsidRPr="00FA1581">
        <w:rPr>
          <w:rFonts w:ascii="Verdana" w:eastAsia="Times New Roman" w:hAnsi="Verdana"/>
        </w:rPr>
        <w:t xml:space="preserve">Texas Governor’s Committee on People with Disabilities </w:t>
      </w:r>
    </w:p>
    <w:p w14:paraId="707CAF70" w14:textId="77777777" w:rsidR="00AE7AD0" w:rsidRDefault="003D7644"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Health and Human Services Commission</w:t>
      </w:r>
    </w:p>
    <w:p w14:paraId="7356DA51" w14:textId="7A6349C1" w:rsidR="000A4CFD" w:rsidRPr="00AE7AD0" w:rsidRDefault="003D7644" w:rsidP="000A4CFD">
      <w:pPr>
        <w:numPr>
          <w:ilvl w:val="0"/>
          <w:numId w:val="4"/>
        </w:numPr>
        <w:spacing w:after="0" w:line="240" w:lineRule="auto"/>
        <w:contextualSpacing/>
        <w:rPr>
          <w:rFonts w:ascii="Verdana" w:eastAsia="Times New Roman" w:hAnsi="Verdana"/>
        </w:rPr>
      </w:pPr>
      <w:r w:rsidRPr="00AE7AD0">
        <w:rPr>
          <w:rFonts w:ascii="Verdana" w:eastAsia="Times New Roman" w:hAnsi="Verdana"/>
        </w:rPr>
        <w:t>Texas Chapter of the Hearing Loss Association of America</w:t>
      </w:r>
      <w:r w:rsidR="000A4CFD" w:rsidRPr="00AE7AD0">
        <w:rPr>
          <w:rFonts w:ascii="Verdana" w:eastAsia="Times New Roman" w:hAnsi="Verdana"/>
        </w:rPr>
        <w:t xml:space="preserve"> </w:t>
      </w:r>
    </w:p>
    <w:p w14:paraId="10DDE27D" w14:textId="77777777" w:rsidR="000028DD" w:rsidRDefault="000028DD" w:rsidP="000A4CFD">
      <w:pPr>
        <w:spacing w:after="0" w:line="240" w:lineRule="auto"/>
        <w:contextualSpacing/>
        <w:rPr>
          <w:rFonts w:ascii="Verdana" w:eastAsia="Times New Roman" w:hAnsi="Verdana"/>
        </w:rPr>
      </w:pPr>
    </w:p>
    <w:p w14:paraId="4E116ADF" w14:textId="77777777" w:rsidR="00AE7AD0" w:rsidRDefault="00AE7AD0" w:rsidP="000A4CFD">
      <w:pPr>
        <w:spacing w:after="0" w:line="240" w:lineRule="auto"/>
        <w:contextualSpacing/>
        <w:rPr>
          <w:rFonts w:ascii="Verdana" w:eastAsia="Times New Roman" w:hAnsi="Verdana"/>
        </w:rPr>
      </w:pPr>
    </w:p>
    <w:p w14:paraId="0D3DCD4C" w14:textId="77777777" w:rsidR="00AE7AD0" w:rsidRDefault="00AE7AD0" w:rsidP="000A4CFD">
      <w:pPr>
        <w:spacing w:after="0" w:line="240" w:lineRule="auto"/>
        <w:contextualSpacing/>
        <w:rPr>
          <w:rFonts w:ascii="Verdana" w:eastAsia="Times New Roman" w:hAnsi="Verdana"/>
        </w:rPr>
      </w:pPr>
    </w:p>
    <w:p w14:paraId="16F99FBF" w14:textId="77777777" w:rsidR="00AE7AD0" w:rsidRDefault="00AE7AD0" w:rsidP="000A4CFD">
      <w:pPr>
        <w:spacing w:after="0" w:line="240" w:lineRule="auto"/>
        <w:contextualSpacing/>
        <w:rPr>
          <w:rFonts w:ascii="Verdana" w:eastAsia="Times New Roman" w:hAnsi="Verdana"/>
        </w:rPr>
      </w:pPr>
    </w:p>
    <w:p w14:paraId="017232A4" w14:textId="77777777" w:rsidR="00AE7AD0" w:rsidRDefault="00AE7AD0" w:rsidP="000A4CFD">
      <w:pPr>
        <w:spacing w:after="0" w:line="240" w:lineRule="auto"/>
        <w:contextualSpacing/>
        <w:rPr>
          <w:rFonts w:ascii="Verdana" w:eastAsia="Times New Roman" w:hAnsi="Verdana"/>
        </w:rPr>
      </w:pPr>
    </w:p>
    <w:p w14:paraId="150D5F4C" w14:textId="77777777" w:rsidR="00AE7AD0" w:rsidRDefault="00AE7AD0" w:rsidP="000A4CFD">
      <w:pPr>
        <w:spacing w:after="0" w:line="240" w:lineRule="auto"/>
        <w:contextualSpacing/>
        <w:rPr>
          <w:rFonts w:ascii="Verdana" w:eastAsia="Times New Roman" w:hAnsi="Verdana"/>
        </w:rPr>
      </w:pPr>
    </w:p>
    <w:p w14:paraId="3D0DB669" w14:textId="77777777" w:rsidR="00AE7AD0" w:rsidRPr="00FA1581" w:rsidRDefault="00AE7AD0" w:rsidP="000A4CFD">
      <w:pPr>
        <w:spacing w:after="0" w:line="240" w:lineRule="auto"/>
        <w:contextualSpacing/>
        <w:rPr>
          <w:rFonts w:ascii="Verdana" w:eastAsia="Times New Roman" w:hAnsi="Verdana"/>
        </w:rPr>
      </w:pPr>
    </w:p>
    <w:p w14:paraId="290B4B2C" w14:textId="77777777" w:rsidR="000A4CFD" w:rsidRPr="00FA1581" w:rsidRDefault="000A4CFD" w:rsidP="000A4CFD">
      <w:pPr>
        <w:spacing w:after="0" w:line="240" w:lineRule="auto"/>
        <w:contextualSpacing/>
        <w:rPr>
          <w:rFonts w:ascii="Verdana" w:eastAsia="Times New Roman" w:hAnsi="Verdana"/>
        </w:rPr>
      </w:pPr>
    </w:p>
    <w:p w14:paraId="314F957A" w14:textId="77777777" w:rsidR="000A4CFD" w:rsidRPr="00FA1581" w:rsidRDefault="000A4CFD" w:rsidP="000A4CFD">
      <w:pPr>
        <w:spacing w:after="0" w:line="240" w:lineRule="auto"/>
        <w:contextualSpacing/>
        <w:rPr>
          <w:rFonts w:ascii="Verdana" w:eastAsia="Times New Roman" w:hAnsi="Verdana"/>
        </w:rPr>
      </w:pPr>
    </w:p>
    <w:p w14:paraId="55262F87" w14:textId="77777777" w:rsidR="000A4CFD" w:rsidRPr="00FA1581" w:rsidRDefault="000A4CFD" w:rsidP="000A4CFD">
      <w:pPr>
        <w:spacing w:after="0" w:line="240" w:lineRule="auto"/>
        <w:contextualSpacing/>
        <w:rPr>
          <w:rFonts w:ascii="Verdana" w:eastAsia="Times New Roman" w:hAnsi="Verdana"/>
        </w:rPr>
      </w:pPr>
    </w:p>
    <w:p w14:paraId="34FA2F73" w14:textId="77777777" w:rsidR="000A4CFD" w:rsidRPr="00FA1581" w:rsidRDefault="000A4CFD" w:rsidP="000A4CFD">
      <w:pPr>
        <w:spacing w:after="0" w:line="240" w:lineRule="auto"/>
        <w:contextualSpacing/>
        <w:rPr>
          <w:rFonts w:ascii="Verdana" w:eastAsia="Times New Roman" w:hAnsi="Verdana"/>
        </w:rPr>
      </w:pPr>
    </w:p>
    <w:p w14:paraId="66025C38"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Council for Developmental Disabilities</w:t>
      </w:r>
    </w:p>
    <w:p w14:paraId="0398C7DC"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Council of Community Centers</w:t>
      </w:r>
    </w:p>
    <w:p w14:paraId="1737EB89"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Council on Autism &amp; Pervasive Developmental Disorders</w:t>
      </w:r>
    </w:p>
    <w:p w14:paraId="5753AB7A"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Deaf Blind Multi-Handicapped Association</w:t>
      </w:r>
    </w:p>
    <w:p w14:paraId="3FE656D0"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Department of Aging &amp; Disability Services (DADS)</w:t>
      </w:r>
    </w:p>
    <w:p w14:paraId="029D4E32"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Department of State Health Services (DSHS)</w:t>
      </w:r>
    </w:p>
    <w:p w14:paraId="67CD8577"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 xml:space="preserve">Texas Division of Emergency Management </w:t>
      </w:r>
    </w:p>
    <w:p w14:paraId="52861400"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Health and Human Services Commission</w:t>
      </w:r>
    </w:p>
    <w:p w14:paraId="7CBA38CF"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heme="minorEastAsia" w:hAnsi="Verdana" w:cstheme="minorBidi"/>
          <w:color w:val="000000" w:themeColor="text1"/>
          <w:kern w:val="24"/>
        </w:rPr>
        <w:t>Texas Health Science Center at Houston</w:t>
      </w:r>
    </w:p>
    <w:p w14:paraId="0F226439"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Independent Living Centers</w:t>
      </w:r>
    </w:p>
    <w:p w14:paraId="356B9E79"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Paralyzed Veterans of America</w:t>
      </w:r>
    </w:p>
    <w:p w14:paraId="7CAB5189"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State Independent Living Council</w:t>
      </w:r>
    </w:p>
    <w:p w14:paraId="5363DCD8"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Voluntary Organization Active in Disaster</w:t>
      </w:r>
    </w:p>
    <w:p w14:paraId="391C2FD9"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Texas Workforce Solutions Vocational Rehabilitation (formerly DARS)</w:t>
      </w:r>
    </w:p>
    <w:p w14:paraId="09646875" w14:textId="77777777" w:rsidR="000A4CFD" w:rsidRPr="00FA1581" w:rsidRDefault="000A4CFD" w:rsidP="000A4CFD">
      <w:pPr>
        <w:numPr>
          <w:ilvl w:val="0"/>
          <w:numId w:val="4"/>
        </w:numPr>
        <w:spacing w:after="0" w:line="240" w:lineRule="auto"/>
        <w:contextualSpacing/>
        <w:rPr>
          <w:rFonts w:ascii="Verdana" w:eastAsia="Times New Roman" w:hAnsi="Verdana"/>
        </w:rPr>
      </w:pPr>
      <w:r w:rsidRPr="00FA1581">
        <w:rPr>
          <w:rFonts w:ascii="Verdana" w:eastAsia="Times New Roman" w:hAnsi="Verdana"/>
        </w:rPr>
        <w:t>University of Texas, Center for Disability Studies</w:t>
      </w:r>
    </w:p>
    <w:p w14:paraId="1085EB73" w14:textId="77777777" w:rsidR="003D7644" w:rsidRPr="00FA1581" w:rsidRDefault="003D7644" w:rsidP="00AE7AD0">
      <w:pPr>
        <w:spacing w:after="0" w:line="240" w:lineRule="auto"/>
        <w:ind w:left="720"/>
        <w:contextualSpacing/>
        <w:rPr>
          <w:rFonts w:ascii="Verdana" w:eastAsia="Times New Roman" w:hAnsi="Verdana"/>
        </w:rPr>
      </w:pPr>
    </w:p>
    <w:p w14:paraId="20ABC843" w14:textId="77777777" w:rsidR="003D7644" w:rsidRPr="00FA1581" w:rsidRDefault="003D7644" w:rsidP="003D7644">
      <w:pPr>
        <w:spacing w:after="0" w:line="240" w:lineRule="auto"/>
        <w:contextualSpacing/>
        <w:rPr>
          <w:rFonts w:ascii="Verdana" w:eastAsia="Times New Roman" w:hAnsi="Verdana"/>
        </w:rPr>
      </w:pPr>
    </w:p>
    <w:p w14:paraId="792E6A9C" w14:textId="77777777" w:rsidR="003D7644" w:rsidRPr="00FA1581" w:rsidRDefault="003D7644" w:rsidP="003D7644">
      <w:pPr>
        <w:spacing w:after="0" w:line="240" w:lineRule="auto"/>
        <w:contextualSpacing/>
        <w:rPr>
          <w:rFonts w:ascii="Verdana" w:eastAsia="Times New Roman" w:hAnsi="Verdana"/>
        </w:rPr>
      </w:pPr>
    </w:p>
    <w:p w14:paraId="04BCCC53" w14:textId="77777777" w:rsidR="003D7644" w:rsidRPr="00FA1581" w:rsidRDefault="003D7644" w:rsidP="003D7644">
      <w:pPr>
        <w:spacing w:after="0" w:line="240" w:lineRule="auto"/>
        <w:contextualSpacing/>
        <w:rPr>
          <w:rFonts w:ascii="Verdana" w:eastAsia="Times New Roman" w:hAnsi="Verdana"/>
        </w:rPr>
      </w:pPr>
    </w:p>
    <w:p w14:paraId="59F7441F" w14:textId="77777777" w:rsidR="003D7644" w:rsidRPr="00FA1581" w:rsidRDefault="003D7644" w:rsidP="003D7644">
      <w:pPr>
        <w:spacing w:after="0" w:line="240" w:lineRule="auto"/>
        <w:contextualSpacing/>
        <w:rPr>
          <w:rFonts w:ascii="Verdana" w:eastAsia="Times New Roman" w:hAnsi="Verdana"/>
        </w:rPr>
      </w:pPr>
    </w:p>
    <w:p w14:paraId="4C09ACA8" w14:textId="77777777" w:rsidR="0065148C" w:rsidRPr="00FA1581" w:rsidRDefault="0065148C" w:rsidP="003D7644">
      <w:pPr>
        <w:spacing w:after="0" w:line="240" w:lineRule="auto"/>
        <w:contextualSpacing/>
        <w:rPr>
          <w:rFonts w:ascii="Verdana" w:eastAsia="Times New Roman" w:hAnsi="Verdana"/>
        </w:rPr>
        <w:sectPr w:rsidR="0065148C" w:rsidRPr="00FA1581" w:rsidSect="003D7644">
          <w:type w:val="continuous"/>
          <w:pgSz w:w="12240" w:h="15840"/>
          <w:pgMar w:top="1152" w:right="1080" w:bottom="1008" w:left="1080" w:header="432" w:footer="720" w:gutter="0"/>
          <w:cols w:num="2" w:space="720"/>
          <w:docGrid w:linePitch="360"/>
        </w:sectPr>
      </w:pPr>
    </w:p>
    <w:p w14:paraId="7DFD4D66" w14:textId="002316AF" w:rsidR="003D7644" w:rsidRPr="00FA1581" w:rsidRDefault="0065148C" w:rsidP="0065148C">
      <w:pPr>
        <w:spacing w:after="0" w:line="240" w:lineRule="auto"/>
        <w:contextualSpacing/>
        <w:jc w:val="center"/>
        <w:rPr>
          <w:rFonts w:ascii="Verdana" w:eastAsia="Times New Roman" w:hAnsi="Verdana"/>
          <w:b/>
        </w:rPr>
      </w:pPr>
      <w:r w:rsidRPr="00FA1581">
        <w:rPr>
          <w:rFonts w:ascii="Verdana" w:eastAsia="Times New Roman" w:hAnsi="Verdana"/>
          <w:b/>
        </w:rPr>
        <w:lastRenderedPageBreak/>
        <w:t>APPENDIX</w:t>
      </w:r>
      <w:r w:rsidR="00B5081F">
        <w:rPr>
          <w:rFonts w:ascii="Verdana" w:eastAsia="Times New Roman" w:hAnsi="Verdana"/>
          <w:b/>
        </w:rPr>
        <w:t xml:space="preserve"> B</w:t>
      </w:r>
    </w:p>
    <w:p w14:paraId="4A2E42E5" w14:textId="05C93069" w:rsidR="0065148C" w:rsidRPr="00FA1581" w:rsidRDefault="0065148C" w:rsidP="0065148C">
      <w:pPr>
        <w:spacing w:after="0" w:line="240" w:lineRule="auto"/>
        <w:contextualSpacing/>
        <w:jc w:val="center"/>
        <w:rPr>
          <w:rFonts w:ascii="Verdana" w:eastAsia="Times New Roman" w:hAnsi="Verdana"/>
        </w:rPr>
      </w:pPr>
      <w:r w:rsidRPr="00FA1581">
        <w:rPr>
          <w:rFonts w:ascii="Verdana" w:eastAsia="Times New Roman" w:hAnsi="Verdana"/>
        </w:rPr>
        <w:t>Legal Enforcement</w:t>
      </w:r>
      <w:r w:rsidR="000028DD">
        <w:rPr>
          <w:rFonts w:ascii="Verdana" w:eastAsia="Times New Roman" w:hAnsi="Verdana"/>
        </w:rPr>
        <w:t>s</w:t>
      </w:r>
      <w:r w:rsidRPr="00FA1581">
        <w:rPr>
          <w:rFonts w:ascii="Verdana" w:eastAsia="Times New Roman" w:hAnsi="Verdana"/>
        </w:rPr>
        <w:t xml:space="preserve"> and Agreements</w:t>
      </w:r>
    </w:p>
    <w:p w14:paraId="6BC93A3C" w14:textId="77777777" w:rsidR="0065148C" w:rsidRPr="00FA1581" w:rsidRDefault="0065148C" w:rsidP="0065148C">
      <w:pPr>
        <w:spacing w:after="0" w:line="240" w:lineRule="auto"/>
        <w:contextualSpacing/>
        <w:jc w:val="center"/>
        <w:rPr>
          <w:rFonts w:ascii="Verdana" w:eastAsia="Times New Roman" w:hAnsi="Verdana"/>
          <w:sz w:val="20"/>
          <w:szCs w:val="20"/>
        </w:rPr>
      </w:pPr>
    </w:p>
    <w:p w14:paraId="7F6F731D" w14:textId="0075051C" w:rsidR="00BA76D3" w:rsidRPr="00FA1581" w:rsidRDefault="00BA76D3" w:rsidP="00BA76D3">
      <w:pPr>
        <w:spacing w:after="0" w:line="240" w:lineRule="auto"/>
        <w:ind w:right="-540"/>
        <w:contextualSpacing/>
        <w:rPr>
          <w:rFonts w:ascii="Verdana" w:eastAsia="Times New Roman" w:hAnsi="Verdana"/>
          <w:b/>
          <w:bCs/>
          <w:sz w:val="20"/>
          <w:szCs w:val="20"/>
        </w:rPr>
      </w:pPr>
      <w:r w:rsidRPr="00FA1581">
        <w:rPr>
          <w:rFonts w:ascii="Verdana" w:eastAsia="Times New Roman" w:hAnsi="Verdana"/>
          <w:b/>
          <w:bCs/>
          <w:sz w:val="20"/>
          <w:szCs w:val="20"/>
        </w:rPr>
        <w:t>Emergency Management Under Title II of the Americans with Disabilities Act:</w:t>
      </w:r>
    </w:p>
    <w:p w14:paraId="2827B93D" w14:textId="1BCAD852" w:rsidR="00BA76D3" w:rsidRPr="00FA1581" w:rsidRDefault="00BA76D3" w:rsidP="0065148C">
      <w:pPr>
        <w:spacing w:after="0" w:line="240" w:lineRule="auto"/>
        <w:contextualSpacing/>
        <w:rPr>
          <w:rFonts w:ascii="Verdana" w:eastAsia="Times New Roman" w:hAnsi="Verdana"/>
          <w:b/>
          <w:bCs/>
          <w:sz w:val="20"/>
          <w:szCs w:val="20"/>
        </w:rPr>
      </w:pPr>
      <w:r w:rsidRPr="00FA1581">
        <w:rPr>
          <w:rFonts w:ascii="Verdana" w:hAnsi="Verdana"/>
          <w:sz w:val="20"/>
          <w:szCs w:val="20"/>
        </w:rPr>
        <w:t>“One of the primary responsibilities of state and local governments is to protect residents and visitors from harm, including assistance in preparing for, responding to, and recovering from emergencies and disasters. State and local governments must comply with Title II of the ADA in the emergency- and disaster-related programs, services, and activities they provide. This requirement applies to programs, services, and activities provided directly by state and local governments as well as those provided through third parties, such as the American Red Cross, private nonprofit organizations, and religious entities. Under Title II of the ADA, emergency programs, services, activities, and facilities must be accessible to people with disabilities and generally may not use eligibility criteria that screen out or tend to screen out people with disabilities. The ADA also requires making reasonable modifications to policies, practices, and procedures when necessary to avoid discrimination against a person with a disability</w:t>
      </w:r>
      <w:r w:rsidRPr="00FA1581">
        <w:rPr>
          <w:rFonts w:ascii="Verdana" w:hAnsi="Verdana" w:cs="Arial"/>
          <w:color w:val="0000FF"/>
          <w:position w:val="9"/>
          <w:sz w:val="20"/>
          <w:szCs w:val="20"/>
          <w:u w:val="single"/>
        </w:rPr>
        <w:t xml:space="preserve"> </w:t>
      </w:r>
      <w:r w:rsidRPr="00FA1581">
        <w:rPr>
          <w:rFonts w:ascii="Verdana" w:hAnsi="Verdana"/>
          <w:sz w:val="20"/>
          <w:szCs w:val="20"/>
        </w:rPr>
        <w:t>and taking the steps necessary to ensure effective communicatio</w:t>
      </w:r>
      <w:r w:rsidR="00AE7AD0">
        <w:rPr>
          <w:rFonts w:ascii="Verdana" w:hAnsi="Verdana"/>
          <w:sz w:val="20"/>
          <w:szCs w:val="20"/>
        </w:rPr>
        <w:t>n with people with disabilities</w:t>
      </w:r>
      <w:r w:rsidRPr="00FA1581">
        <w:rPr>
          <w:rFonts w:ascii="Verdana" w:hAnsi="Verdana"/>
          <w:sz w:val="20"/>
          <w:szCs w:val="20"/>
        </w:rPr>
        <w:t>”</w:t>
      </w:r>
      <w:r w:rsidR="00AE7AD0">
        <w:rPr>
          <w:rFonts w:ascii="Verdana" w:hAnsi="Verdana"/>
          <w:sz w:val="20"/>
          <w:szCs w:val="20"/>
        </w:rPr>
        <w:t xml:space="preserve"> (United States Department of Justice, 2007).</w:t>
      </w:r>
      <w:r w:rsidRPr="00FA1581">
        <w:rPr>
          <w:rFonts w:ascii="Verdana" w:hAnsi="Verdana"/>
          <w:sz w:val="20"/>
          <w:szCs w:val="20"/>
        </w:rPr>
        <w:t xml:space="preserve"> Complete text may be found at: </w:t>
      </w:r>
      <w:hyperlink r:id="rId9" w:history="1">
        <w:r w:rsidRPr="00FA1581">
          <w:rPr>
            <w:rStyle w:val="Hyperlink"/>
            <w:rFonts w:ascii="Verdana" w:hAnsi="Verdana"/>
            <w:sz w:val="20"/>
            <w:szCs w:val="20"/>
          </w:rPr>
          <w:t>https://www.ada.gov/pcatoolkit/chap7emergencymgmt.htm</w:t>
        </w:r>
      </w:hyperlink>
    </w:p>
    <w:p w14:paraId="16FA176E" w14:textId="77777777" w:rsidR="00BA76D3" w:rsidRPr="00FA1581" w:rsidRDefault="00BA76D3" w:rsidP="0065148C">
      <w:pPr>
        <w:spacing w:after="0" w:line="240" w:lineRule="auto"/>
        <w:contextualSpacing/>
        <w:rPr>
          <w:rFonts w:ascii="Verdana" w:eastAsia="Times New Roman" w:hAnsi="Verdana"/>
          <w:b/>
          <w:bCs/>
          <w:sz w:val="20"/>
          <w:szCs w:val="20"/>
        </w:rPr>
      </w:pPr>
    </w:p>
    <w:p w14:paraId="4F4AEA0F" w14:textId="71A027E7" w:rsidR="00BA76D3" w:rsidRPr="00FA1581" w:rsidRDefault="00BA76D3" w:rsidP="0065148C">
      <w:pPr>
        <w:spacing w:after="0" w:line="240" w:lineRule="auto"/>
        <w:contextualSpacing/>
        <w:rPr>
          <w:rFonts w:ascii="Verdana" w:eastAsia="Times New Roman" w:hAnsi="Verdana"/>
          <w:b/>
          <w:bCs/>
          <w:sz w:val="20"/>
          <w:szCs w:val="20"/>
        </w:rPr>
      </w:pPr>
      <w:r w:rsidRPr="00FA1581">
        <w:rPr>
          <w:rFonts w:ascii="Verdana" w:eastAsia="Times New Roman" w:hAnsi="Verdana"/>
          <w:b/>
          <w:bCs/>
          <w:sz w:val="20"/>
          <w:szCs w:val="20"/>
        </w:rPr>
        <w:t xml:space="preserve">Current American with Disabilities Act (ADA) </w:t>
      </w:r>
      <w:r w:rsidRPr="00FA1581">
        <w:rPr>
          <w:rFonts w:ascii="Verdana" w:eastAsia="Times New Roman" w:hAnsi="Verdana"/>
          <w:bCs/>
          <w:sz w:val="20"/>
          <w:szCs w:val="20"/>
        </w:rPr>
        <w:t xml:space="preserve">enforcement activities can be found at: </w:t>
      </w:r>
      <w:hyperlink r:id="rId10" w:history="1">
        <w:r w:rsidRPr="00FA1581">
          <w:rPr>
            <w:rStyle w:val="Hyperlink"/>
            <w:rFonts w:ascii="Verdana" w:eastAsia="Times New Roman" w:hAnsi="Verdana"/>
            <w:bCs/>
            <w:sz w:val="20"/>
            <w:szCs w:val="20"/>
          </w:rPr>
          <w:t>https://www.ada.gov/enforce_activities.htm</w:t>
        </w:r>
      </w:hyperlink>
      <w:r w:rsidRPr="00FA1581">
        <w:rPr>
          <w:rFonts w:ascii="Verdana" w:eastAsia="Times New Roman" w:hAnsi="Verdana"/>
          <w:bCs/>
          <w:sz w:val="20"/>
          <w:szCs w:val="20"/>
        </w:rPr>
        <w:t>.</w:t>
      </w:r>
    </w:p>
    <w:p w14:paraId="08021F30" w14:textId="77777777" w:rsidR="00BA76D3" w:rsidRPr="00FA1581" w:rsidRDefault="00BA76D3" w:rsidP="0065148C">
      <w:pPr>
        <w:spacing w:after="0" w:line="240" w:lineRule="auto"/>
        <w:contextualSpacing/>
        <w:rPr>
          <w:rFonts w:ascii="Verdana" w:eastAsia="Times New Roman" w:hAnsi="Verdana"/>
          <w:b/>
          <w:bCs/>
          <w:sz w:val="20"/>
          <w:szCs w:val="20"/>
        </w:rPr>
      </w:pPr>
    </w:p>
    <w:p w14:paraId="27E8974A" w14:textId="4FFAFD4F" w:rsidR="0065148C" w:rsidRPr="00FA1581" w:rsidRDefault="0065148C" w:rsidP="0065148C">
      <w:pPr>
        <w:spacing w:after="0" w:line="240" w:lineRule="auto"/>
        <w:contextualSpacing/>
        <w:rPr>
          <w:rFonts w:ascii="Verdana" w:eastAsia="Times New Roman" w:hAnsi="Verdana"/>
          <w:sz w:val="20"/>
          <w:szCs w:val="20"/>
        </w:rPr>
      </w:pPr>
      <w:r w:rsidRPr="00FA1581">
        <w:rPr>
          <w:rFonts w:ascii="Verdana" w:eastAsia="Times New Roman" w:hAnsi="Verdana"/>
          <w:b/>
          <w:bCs/>
          <w:sz w:val="20"/>
          <w:szCs w:val="20"/>
        </w:rPr>
        <w:t>Galveston, Texas Settlement Agreement (2011)</w:t>
      </w:r>
      <w:r w:rsidRPr="00FA1581">
        <w:rPr>
          <w:rFonts w:ascii="Verdana" w:eastAsia="Times New Roman" w:hAnsi="Verdana"/>
          <w:sz w:val="20"/>
          <w:szCs w:val="20"/>
        </w:rPr>
        <w:t xml:space="preserve"> </w:t>
      </w:r>
      <w:r w:rsidRPr="00FA1581">
        <w:rPr>
          <w:rFonts w:ascii="Verdana" w:eastAsia="Times New Roman" w:hAnsi="Verdana"/>
          <w:b/>
          <w:bCs/>
          <w:sz w:val="20"/>
          <w:szCs w:val="20"/>
        </w:rPr>
        <w:t xml:space="preserve">DJ# 204-74-343: </w:t>
      </w:r>
      <w:r w:rsidRPr="00FA1581">
        <w:rPr>
          <w:rFonts w:ascii="Verdana" w:hAnsi="Verdana"/>
          <w:sz w:val="20"/>
          <w:szCs w:val="20"/>
        </w:rPr>
        <w:t>The United States reviewed Galveston County's emergency management and disaster prevention policies to evaluate whether people with disabilities ha</w:t>
      </w:r>
      <w:r w:rsidR="00515768" w:rsidRPr="00FA1581">
        <w:rPr>
          <w:rFonts w:ascii="Verdana" w:hAnsi="Verdana"/>
          <w:sz w:val="20"/>
          <w:szCs w:val="20"/>
        </w:rPr>
        <w:t>d</w:t>
      </w:r>
      <w:r w:rsidRPr="00FA1581">
        <w:rPr>
          <w:rFonts w:ascii="Verdana" w:hAnsi="Verdana"/>
          <w:sz w:val="20"/>
          <w:szCs w:val="20"/>
        </w:rPr>
        <w:t xml:space="preserve"> an equal opportunity to utilize these programs. Galveston County was instructed to comply with the Americans Disability Act in their Emergency Operations Plan (EOP)</w:t>
      </w:r>
      <w:r w:rsidR="00515768" w:rsidRPr="00FA1581">
        <w:rPr>
          <w:rFonts w:ascii="Verdana" w:hAnsi="Verdana"/>
          <w:sz w:val="20"/>
          <w:szCs w:val="20"/>
        </w:rPr>
        <w:t xml:space="preserve"> and to include six </w:t>
      </w:r>
      <w:r w:rsidR="000A4CFD" w:rsidRPr="00FA1581">
        <w:rPr>
          <w:rFonts w:ascii="Verdana" w:hAnsi="Verdana"/>
          <w:sz w:val="20"/>
          <w:szCs w:val="20"/>
        </w:rPr>
        <w:t>disability-</w:t>
      </w:r>
      <w:r w:rsidR="00515768" w:rsidRPr="00FA1581">
        <w:rPr>
          <w:rFonts w:ascii="Verdana" w:hAnsi="Verdana"/>
          <w:sz w:val="20"/>
          <w:szCs w:val="20"/>
        </w:rPr>
        <w:t>inclusive practices as part of their EOP, as well as</w:t>
      </w:r>
      <w:r w:rsidRPr="00FA1581">
        <w:rPr>
          <w:rFonts w:ascii="Verdana" w:hAnsi="Verdana"/>
          <w:sz w:val="20"/>
          <w:szCs w:val="20"/>
        </w:rPr>
        <w:t xml:space="preserve"> </w:t>
      </w:r>
      <w:r w:rsidR="00515768" w:rsidRPr="00FA1581">
        <w:rPr>
          <w:rFonts w:ascii="Verdana" w:hAnsi="Verdana"/>
          <w:sz w:val="20"/>
          <w:szCs w:val="20"/>
        </w:rPr>
        <w:t xml:space="preserve">identify and publicize to the public and to people with disabilities the most accessible emergency shelters. </w:t>
      </w:r>
      <w:r w:rsidR="000A4CFD" w:rsidRPr="00FA1581">
        <w:rPr>
          <w:rFonts w:ascii="Verdana" w:hAnsi="Verdana"/>
          <w:sz w:val="20"/>
          <w:szCs w:val="20"/>
        </w:rPr>
        <w:t>Details on</w:t>
      </w:r>
      <w:r w:rsidR="00515768" w:rsidRPr="00FA1581">
        <w:rPr>
          <w:rFonts w:ascii="Verdana" w:hAnsi="Verdana"/>
          <w:sz w:val="20"/>
          <w:szCs w:val="20"/>
        </w:rPr>
        <w:t xml:space="preserve"> the </w:t>
      </w:r>
      <w:r w:rsidR="000A4CFD" w:rsidRPr="00FA1581">
        <w:rPr>
          <w:rFonts w:ascii="Verdana" w:hAnsi="Verdana"/>
          <w:sz w:val="20"/>
          <w:szCs w:val="20"/>
        </w:rPr>
        <w:t xml:space="preserve">scope of the </w:t>
      </w:r>
      <w:r w:rsidR="00515768" w:rsidRPr="00FA1581">
        <w:rPr>
          <w:rFonts w:ascii="Verdana" w:hAnsi="Verdana"/>
          <w:sz w:val="20"/>
          <w:szCs w:val="20"/>
        </w:rPr>
        <w:t xml:space="preserve">investigation and settlement may be found at: </w:t>
      </w:r>
      <w:hyperlink r:id="rId11" w:history="1">
        <w:r w:rsidRPr="00FA1581">
          <w:rPr>
            <w:rStyle w:val="Hyperlink"/>
            <w:rFonts w:ascii="Verdana" w:eastAsia="Times New Roman" w:hAnsi="Verdana"/>
            <w:sz w:val="20"/>
            <w:szCs w:val="20"/>
          </w:rPr>
          <w:t>https://www.ada.gov/galveston_tx_pca/galveston_tx_sa.html</w:t>
        </w:r>
      </w:hyperlink>
      <w:r w:rsidRPr="00FA1581">
        <w:rPr>
          <w:rFonts w:ascii="Verdana" w:eastAsia="Times New Roman" w:hAnsi="Verdana"/>
          <w:sz w:val="20"/>
          <w:szCs w:val="20"/>
        </w:rPr>
        <w:t> </w:t>
      </w:r>
    </w:p>
    <w:p w14:paraId="054D0DFD" w14:textId="77777777" w:rsidR="003D7644" w:rsidRPr="00FA1581" w:rsidRDefault="003D7644" w:rsidP="003D7644">
      <w:pPr>
        <w:spacing w:after="0" w:line="240" w:lineRule="auto"/>
        <w:contextualSpacing/>
        <w:rPr>
          <w:rFonts w:ascii="Verdana" w:eastAsia="Times New Roman" w:hAnsi="Verdana"/>
          <w:sz w:val="20"/>
          <w:szCs w:val="20"/>
        </w:rPr>
      </w:pPr>
    </w:p>
    <w:p w14:paraId="04117283" w14:textId="227079BD" w:rsidR="000A4CFD" w:rsidRPr="00FA1581" w:rsidRDefault="00515768" w:rsidP="00515768">
      <w:pPr>
        <w:spacing w:after="0" w:line="240" w:lineRule="auto"/>
        <w:contextualSpacing/>
        <w:rPr>
          <w:rFonts w:ascii="Verdana" w:hAnsi="Verdana"/>
          <w:sz w:val="20"/>
          <w:szCs w:val="20"/>
        </w:rPr>
      </w:pPr>
      <w:r w:rsidRPr="00FA1581">
        <w:rPr>
          <w:rFonts w:ascii="Verdana" w:eastAsia="Times New Roman" w:hAnsi="Verdana"/>
          <w:b/>
          <w:bCs/>
          <w:sz w:val="20"/>
          <w:szCs w:val="20"/>
        </w:rPr>
        <w:t xml:space="preserve">Nueces County, Texas Settlement Agreement (2011) #DJ 204-74-348: </w:t>
      </w:r>
      <w:r w:rsidR="000A4CFD" w:rsidRPr="00FA1581">
        <w:rPr>
          <w:rFonts w:ascii="Verdana" w:hAnsi="Verdana"/>
          <w:sz w:val="20"/>
          <w:szCs w:val="20"/>
        </w:rPr>
        <w:t>The Disability Rights Section of the Department of Justice's Civil Rights Division conducted a compliance review of the Count</w:t>
      </w:r>
      <w:r w:rsidR="000A4CFD" w:rsidRPr="00FA1581">
        <w:rPr>
          <w:rStyle w:val="Emphasis"/>
          <w:rFonts w:ascii="Verdana" w:hAnsi="Verdana"/>
          <w:sz w:val="20"/>
          <w:szCs w:val="20"/>
        </w:rPr>
        <w:t>y</w:t>
      </w:r>
      <w:r w:rsidR="000A4CFD" w:rsidRPr="00FA1581">
        <w:rPr>
          <w:rFonts w:ascii="Verdana" w:hAnsi="Verdana"/>
          <w:sz w:val="20"/>
          <w:szCs w:val="20"/>
        </w:rPr>
        <w:t>'s compliance with Title II of the Americans with Disability Act of 1990. Nueces County was instructed to comply with the Americans Disability Act in their Emergency Operations Plan (EOP) and to include six disability-inclusive practice as part of their EOP, as well as to provide program access or remove barriers to accessibility to emergency shelters under the ADA and provide direct access via TTY or computer-to-telephone emergency services, including 911 services. Details on the scope of the investigation and settlement may be found at:</w:t>
      </w:r>
    </w:p>
    <w:p w14:paraId="6BBC6774" w14:textId="2C62CC41" w:rsidR="00515768" w:rsidRDefault="005864DB" w:rsidP="00515768">
      <w:pPr>
        <w:spacing w:after="0" w:line="240" w:lineRule="auto"/>
        <w:contextualSpacing/>
        <w:rPr>
          <w:rFonts w:ascii="Verdana" w:eastAsia="Times New Roman" w:hAnsi="Verdana"/>
          <w:sz w:val="20"/>
          <w:szCs w:val="20"/>
        </w:rPr>
      </w:pPr>
      <w:hyperlink r:id="rId12" w:history="1">
        <w:r w:rsidR="00515768" w:rsidRPr="00FA1581">
          <w:rPr>
            <w:rStyle w:val="Hyperlink"/>
            <w:rFonts w:ascii="Verdana" w:eastAsia="Times New Roman" w:hAnsi="Verdana"/>
            <w:sz w:val="20"/>
            <w:szCs w:val="20"/>
          </w:rPr>
          <w:t>https://www.ada.gov/nueces_co_tx_pca/nueces_co_tx_sa.html</w:t>
        </w:r>
      </w:hyperlink>
    </w:p>
    <w:p w14:paraId="4FD9890C" w14:textId="77777777" w:rsidR="00AE7AD0" w:rsidRDefault="00AE7AD0" w:rsidP="00515768">
      <w:pPr>
        <w:spacing w:after="0" w:line="240" w:lineRule="auto"/>
        <w:contextualSpacing/>
        <w:rPr>
          <w:rFonts w:ascii="Verdana" w:eastAsia="Times New Roman" w:hAnsi="Verdana"/>
          <w:sz w:val="20"/>
          <w:szCs w:val="20"/>
        </w:rPr>
      </w:pPr>
    </w:p>
    <w:p w14:paraId="676B613B" w14:textId="1FCFE677" w:rsidR="00AE7AD0" w:rsidRPr="00FA1581" w:rsidRDefault="00AE7AD0" w:rsidP="00515768">
      <w:pPr>
        <w:spacing w:after="0" w:line="240" w:lineRule="auto"/>
        <w:contextualSpacing/>
        <w:rPr>
          <w:rFonts w:ascii="Verdana" w:eastAsia="Times New Roman" w:hAnsi="Verdana"/>
          <w:sz w:val="20"/>
          <w:szCs w:val="20"/>
        </w:rPr>
      </w:pPr>
      <w:r w:rsidRPr="000028DD">
        <w:rPr>
          <w:rFonts w:ascii="Verdana" w:eastAsia="Times New Roman" w:hAnsi="Verdana"/>
          <w:b/>
          <w:sz w:val="20"/>
          <w:szCs w:val="20"/>
        </w:rPr>
        <w:t>Salinas v. City of New Braunfels, 557 F. Supp. 2d 777 (U.S. District Court, W.D. Texas March 14, 2008).</w:t>
      </w:r>
      <w:r>
        <w:rPr>
          <w:rFonts w:ascii="Verdana" w:eastAsia="Times New Roman" w:hAnsi="Verdana"/>
          <w:sz w:val="20"/>
          <w:szCs w:val="20"/>
        </w:rPr>
        <w:t xml:space="preserve"> This</w:t>
      </w:r>
      <w:r w:rsidRPr="00AE7AD0">
        <w:rPr>
          <w:rFonts w:ascii="Verdana" w:eastAsia="Times New Roman" w:hAnsi="Verdana"/>
          <w:sz w:val="20"/>
          <w:szCs w:val="20"/>
        </w:rPr>
        <w:t xml:space="preserve"> case addressed the right of people with disabilities to equal access to effective communication resulted when a deaf woman was unable to communicate with emergency services </w:t>
      </w:r>
      <w:r w:rsidR="000028DD">
        <w:rPr>
          <w:rFonts w:ascii="Verdana" w:eastAsia="Times New Roman" w:hAnsi="Verdana"/>
          <w:sz w:val="20"/>
          <w:szCs w:val="20"/>
        </w:rPr>
        <w:t>through</w:t>
      </w:r>
      <w:r w:rsidRPr="00AE7AD0">
        <w:rPr>
          <w:rFonts w:ascii="Verdana" w:eastAsia="Times New Roman" w:hAnsi="Verdana"/>
          <w:sz w:val="20"/>
          <w:szCs w:val="20"/>
        </w:rPr>
        <w:t xml:space="preserve"> 911. The court found that under the ADA, the City of New Braunfels was required to grant people with disabilities, “the same opportunity as non-disabled individuals to converse with emergency responders” (Salinas v. City of New Braunfels, 2008). </w:t>
      </w:r>
    </w:p>
    <w:p w14:paraId="1D3E2F82" w14:textId="77777777" w:rsidR="00FA1581" w:rsidRPr="00FA1581" w:rsidRDefault="00FA1581" w:rsidP="00515768">
      <w:pPr>
        <w:spacing w:after="0" w:line="240" w:lineRule="auto"/>
        <w:contextualSpacing/>
        <w:rPr>
          <w:rFonts w:ascii="Verdana" w:eastAsia="Times New Roman" w:hAnsi="Verdana"/>
          <w:sz w:val="20"/>
          <w:szCs w:val="20"/>
        </w:rPr>
      </w:pPr>
    </w:p>
    <w:p w14:paraId="2876B356" w14:textId="56308439" w:rsidR="004A685F" w:rsidRPr="00FA1581" w:rsidRDefault="00FA1581" w:rsidP="00FA1581">
      <w:pPr>
        <w:spacing w:after="0" w:line="240" w:lineRule="auto"/>
        <w:contextualSpacing/>
        <w:rPr>
          <w:rFonts w:ascii="Verdana" w:eastAsia="Times New Roman" w:hAnsi="Verdana"/>
          <w:sz w:val="20"/>
          <w:szCs w:val="20"/>
        </w:rPr>
      </w:pPr>
      <w:r w:rsidRPr="00FA1581">
        <w:rPr>
          <w:rFonts w:ascii="Verdana" w:eastAsia="Times New Roman" w:hAnsi="Verdana"/>
          <w:b/>
          <w:sz w:val="20"/>
          <w:szCs w:val="20"/>
        </w:rPr>
        <w:t xml:space="preserve">National Association of </w:t>
      </w:r>
      <w:r>
        <w:rPr>
          <w:rFonts w:ascii="Verdana" w:eastAsia="Times New Roman" w:hAnsi="Verdana"/>
          <w:b/>
          <w:sz w:val="20"/>
          <w:szCs w:val="20"/>
        </w:rPr>
        <w:t>C</w:t>
      </w:r>
      <w:r w:rsidRPr="00FA1581">
        <w:rPr>
          <w:rFonts w:ascii="Verdana" w:eastAsia="Times New Roman" w:hAnsi="Verdana"/>
          <w:b/>
          <w:sz w:val="20"/>
          <w:szCs w:val="20"/>
        </w:rPr>
        <w:t>ounty and City Health Officials:</w:t>
      </w:r>
      <w:r w:rsidRPr="00FA1581">
        <w:rPr>
          <w:rFonts w:ascii="Verdana" w:eastAsia="Times New Roman" w:hAnsi="Verdana"/>
          <w:sz w:val="20"/>
          <w:szCs w:val="20"/>
        </w:rPr>
        <w:t xml:space="preserve"> “The ADA has serious implications for whole community planning. Recently, court cases in Los Angeles and New York have highlighted the legal implications for cities that fail to meet the needs of persons with disabilities in planning for disasters.” Details on these court cases may be found at: </w:t>
      </w:r>
      <w:hyperlink r:id="rId13" w:history="1">
        <w:r w:rsidRPr="00FA1581">
          <w:rPr>
            <w:rStyle w:val="Hyperlink"/>
            <w:rFonts w:ascii="Verdana" w:eastAsia="Times New Roman" w:hAnsi="Verdana"/>
            <w:sz w:val="20"/>
            <w:szCs w:val="20"/>
          </w:rPr>
          <w:t>http://nacchopreparedness.org/wp-content/uploads/2016/09/16_EH_Emergency-Planning-PPl-w-Disabilities_FactSheet.pdf</w:t>
        </w:r>
      </w:hyperlink>
      <w:r w:rsidRPr="00FA1581">
        <w:rPr>
          <w:rFonts w:ascii="Verdana" w:eastAsia="Times New Roman" w:hAnsi="Verdana"/>
          <w:sz w:val="20"/>
          <w:szCs w:val="20"/>
        </w:rPr>
        <w:t xml:space="preserve"> </w:t>
      </w:r>
    </w:p>
    <w:sectPr w:rsidR="004A685F" w:rsidRPr="00FA1581" w:rsidSect="0065148C">
      <w:pgSz w:w="12240" w:h="15840"/>
      <w:pgMar w:top="1152" w:right="1080" w:bottom="1008"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8ABE" w14:textId="77777777" w:rsidR="004A70F0" w:rsidRDefault="004A70F0" w:rsidP="00627C44">
      <w:pPr>
        <w:spacing w:after="0" w:line="240" w:lineRule="auto"/>
      </w:pPr>
      <w:r>
        <w:separator/>
      </w:r>
    </w:p>
  </w:endnote>
  <w:endnote w:type="continuationSeparator" w:id="0">
    <w:p w14:paraId="7FBA7DB6" w14:textId="77777777" w:rsidR="004A70F0" w:rsidRDefault="004A70F0" w:rsidP="0062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C937" w14:textId="77777777" w:rsidR="004A70F0" w:rsidRDefault="004A70F0" w:rsidP="00627C44">
      <w:pPr>
        <w:spacing w:after="0" w:line="240" w:lineRule="auto"/>
      </w:pPr>
      <w:r>
        <w:separator/>
      </w:r>
    </w:p>
  </w:footnote>
  <w:footnote w:type="continuationSeparator" w:id="0">
    <w:p w14:paraId="1BDA57F6" w14:textId="77777777" w:rsidR="004A70F0" w:rsidRDefault="004A70F0" w:rsidP="0062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944402"/>
      <w:docPartObj>
        <w:docPartGallery w:val="Page Numbers (Top of Page)"/>
        <w:docPartUnique/>
      </w:docPartObj>
    </w:sdtPr>
    <w:sdtEndPr>
      <w:rPr>
        <w:noProof/>
      </w:rPr>
    </w:sdtEndPr>
    <w:sdtContent>
      <w:p w14:paraId="6456FD96" w14:textId="7C1D5949" w:rsidR="001E6E63" w:rsidRDefault="001E6E63">
        <w:pPr>
          <w:pStyle w:val="Header"/>
          <w:jc w:val="right"/>
        </w:pPr>
        <w:r>
          <w:fldChar w:fldCharType="begin"/>
        </w:r>
        <w:r>
          <w:instrText xml:space="preserve"> PAGE   \* MERGEFORMAT </w:instrText>
        </w:r>
        <w:r>
          <w:fldChar w:fldCharType="separate"/>
        </w:r>
        <w:r w:rsidR="00B5081F">
          <w:rPr>
            <w:noProof/>
          </w:rPr>
          <w:t>5</w:t>
        </w:r>
        <w:r>
          <w:rPr>
            <w:noProof/>
          </w:rPr>
          <w:fldChar w:fldCharType="end"/>
        </w:r>
      </w:p>
    </w:sdtContent>
  </w:sdt>
  <w:p w14:paraId="1013E75B" w14:textId="5F7EE128" w:rsidR="00627C44" w:rsidRDefault="00627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F34"/>
    <w:multiLevelType w:val="hybridMultilevel"/>
    <w:tmpl w:val="C234F216"/>
    <w:lvl w:ilvl="0" w:tplc="B5507236">
      <w:start w:val="1"/>
      <w:numFmt w:val="bullet"/>
      <w:lvlText w:val="•"/>
      <w:lvlJc w:val="left"/>
      <w:pPr>
        <w:tabs>
          <w:tab w:val="num" w:pos="720"/>
        </w:tabs>
        <w:ind w:left="720" w:hanging="360"/>
      </w:pPr>
      <w:rPr>
        <w:rFonts w:ascii="Arial" w:hAnsi="Arial" w:hint="default"/>
      </w:rPr>
    </w:lvl>
    <w:lvl w:ilvl="1" w:tplc="0DF61672" w:tentative="1">
      <w:start w:val="1"/>
      <w:numFmt w:val="bullet"/>
      <w:lvlText w:val="•"/>
      <w:lvlJc w:val="left"/>
      <w:pPr>
        <w:tabs>
          <w:tab w:val="num" w:pos="1440"/>
        </w:tabs>
        <w:ind w:left="1440" w:hanging="360"/>
      </w:pPr>
      <w:rPr>
        <w:rFonts w:ascii="Arial" w:hAnsi="Arial" w:hint="default"/>
      </w:rPr>
    </w:lvl>
    <w:lvl w:ilvl="2" w:tplc="87C2A14A" w:tentative="1">
      <w:start w:val="1"/>
      <w:numFmt w:val="bullet"/>
      <w:lvlText w:val="•"/>
      <w:lvlJc w:val="left"/>
      <w:pPr>
        <w:tabs>
          <w:tab w:val="num" w:pos="2160"/>
        </w:tabs>
        <w:ind w:left="2160" w:hanging="360"/>
      </w:pPr>
      <w:rPr>
        <w:rFonts w:ascii="Arial" w:hAnsi="Arial" w:hint="default"/>
      </w:rPr>
    </w:lvl>
    <w:lvl w:ilvl="3" w:tplc="025E48EA" w:tentative="1">
      <w:start w:val="1"/>
      <w:numFmt w:val="bullet"/>
      <w:lvlText w:val="•"/>
      <w:lvlJc w:val="left"/>
      <w:pPr>
        <w:tabs>
          <w:tab w:val="num" w:pos="2880"/>
        </w:tabs>
        <w:ind w:left="2880" w:hanging="360"/>
      </w:pPr>
      <w:rPr>
        <w:rFonts w:ascii="Arial" w:hAnsi="Arial" w:hint="default"/>
      </w:rPr>
    </w:lvl>
    <w:lvl w:ilvl="4" w:tplc="CD76C368" w:tentative="1">
      <w:start w:val="1"/>
      <w:numFmt w:val="bullet"/>
      <w:lvlText w:val="•"/>
      <w:lvlJc w:val="left"/>
      <w:pPr>
        <w:tabs>
          <w:tab w:val="num" w:pos="3600"/>
        </w:tabs>
        <w:ind w:left="3600" w:hanging="360"/>
      </w:pPr>
      <w:rPr>
        <w:rFonts w:ascii="Arial" w:hAnsi="Arial" w:hint="default"/>
      </w:rPr>
    </w:lvl>
    <w:lvl w:ilvl="5" w:tplc="E856D778" w:tentative="1">
      <w:start w:val="1"/>
      <w:numFmt w:val="bullet"/>
      <w:lvlText w:val="•"/>
      <w:lvlJc w:val="left"/>
      <w:pPr>
        <w:tabs>
          <w:tab w:val="num" w:pos="4320"/>
        </w:tabs>
        <w:ind w:left="4320" w:hanging="360"/>
      </w:pPr>
      <w:rPr>
        <w:rFonts w:ascii="Arial" w:hAnsi="Arial" w:hint="default"/>
      </w:rPr>
    </w:lvl>
    <w:lvl w:ilvl="6" w:tplc="BE66BF28" w:tentative="1">
      <w:start w:val="1"/>
      <w:numFmt w:val="bullet"/>
      <w:lvlText w:val="•"/>
      <w:lvlJc w:val="left"/>
      <w:pPr>
        <w:tabs>
          <w:tab w:val="num" w:pos="5040"/>
        </w:tabs>
        <w:ind w:left="5040" w:hanging="360"/>
      </w:pPr>
      <w:rPr>
        <w:rFonts w:ascii="Arial" w:hAnsi="Arial" w:hint="default"/>
      </w:rPr>
    </w:lvl>
    <w:lvl w:ilvl="7" w:tplc="04C41268" w:tentative="1">
      <w:start w:val="1"/>
      <w:numFmt w:val="bullet"/>
      <w:lvlText w:val="•"/>
      <w:lvlJc w:val="left"/>
      <w:pPr>
        <w:tabs>
          <w:tab w:val="num" w:pos="5760"/>
        </w:tabs>
        <w:ind w:left="5760" w:hanging="360"/>
      </w:pPr>
      <w:rPr>
        <w:rFonts w:ascii="Arial" w:hAnsi="Arial" w:hint="default"/>
      </w:rPr>
    </w:lvl>
    <w:lvl w:ilvl="8" w:tplc="711479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1028E1"/>
    <w:multiLevelType w:val="hybridMultilevel"/>
    <w:tmpl w:val="EC16C7BE"/>
    <w:lvl w:ilvl="0" w:tplc="80248782">
      <w:start w:val="1"/>
      <w:numFmt w:val="bullet"/>
      <w:lvlText w:val="•"/>
      <w:lvlJc w:val="left"/>
      <w:pPr>
        <w:tabs>
          <w:tab w:val="num" w:pos="720"/>
        </w:tabs>
        <w:ind w:left="720" w:hanging="360"/>
      </w:pPr>
      <w:rPr>
        <w:rFonts w:ascii="Arial" w:hAnsi="Arial" w:hint="default"/>
      </w:rPr>
    </w:lvl>
    <w:lvl w:ilvl="1" w:tplc="2BBC544C" w:tentative="1">
      <w:start w:val="1"/>
      <w:numFmt w:val="bullet"/>
      <w:lvlText w:val="•"/>
      <w:lvlJc w:val="left"/>
      <w:pPr>
        <w:tabs>
          <w:tab w:val="num" w:pos="1440"/>
        </w:tabs>
        <w:ind w:left="1440" w:hanging="360"/>
      </w:pPr>
      <w:rPr>
        <w:rFonts w:ascii="Arial" w:hAnsi="Arial" w:hint="default"/>
      </w:rPr>
    </w:lvl>
    <w:lvl w:ilvl="2" w:tplc="5B72AC0A" w:tentative="1">
      <w:start w:val="1"/>
      <w:numFmt w:val="bullet"/>
      <w:lvlText w:val="•"/>
      <w:lvlJc w:val="left"/>
      <w:pPr>
        <w:tabs>
          <w:tab w:val="num" w:pos="2160"/>
        </w:tabs>
        <w:ind w:left="2160" w:hanging="360"/>
      </w:pPr>
      <w:rPr>
        <w:rFonts w:ascii="Arial" w:hAnsi="Arial" w:hint="default"/>
      </w:rPr>
    </w:lvl>
    <w:lvl w:ilvl="3" w:tplc="A208B248" w:tentative="1">
      <w:start w:val="1"/>
      <w:numFmt w:val="bullet"/>
      <w:lvlText w:val="•"/>
      <w:lvlJc w:val="left"/>
      <w:pPr>
        <w:tabs>
          <w:tab w:val="num" w:pos="2880"/>
        </w:tabs>
        <w:ind w:left="2880" w:hanging="360"/>
      </w:pPr>
      <w:rPr>
        <w:rFonts w:ascii="Arial" w:hAnsi="Arial" w:hint="default"/>
      </w:rPr>
    </w:lvl>
    <w:lvl w:ilvl="4" w:tplc="EF8696DC" w:tentative="1">
      <w:start w:val="1"/>
      <w:numFmt w:val="bullet"/>
      <w:lvlText w:val="•"/>
      <w:lvlJc w:val="left"/>
      <w:pPr>
        <w:tabs>
          <w:tab w:val="num" w:pos="3600"/>
        </w:tabs>
        <w:ind w:left="3600" w:hanging="360"/>
      </w:pPr>
      <w:rPr>
        <w:rFonts w:ascii="Arial" w:hAnsi="Arial" w:hint="default"/>
      </w:rPr>
    </w:lvl>
    <w:lvl w:ilvl="5" w:tplc="09347926" w:tentative="1">
      <w:start w:val="1"/>
      <w:numFmt w:val="bullet"/>
      <w:lvlText w:val="•"/>
      <w:lvlJc w:val="left"/>
      <w:pPr>
        <w:tabs>
          <w:tab w:val="num" w:pos="4320"/>
        </w:tabs>
        <w:ind w:left="4320" w:hanging="360"/>
      </w:pPr>
      <w:rPr>
        <w:rFonts w:ascii="Arial" w:hAnsi="Arial" w:hint="default"/>
      </w:rPr>
    </w:lvl>
    <w:lvl w:ilvl="6" w:tplc="2AD6E366" w:tentative="1">
      <w:start w:val="1"/>
      <w:numFmt w:val="bullet"/>
      <w:lvlText w:val="•"/>
      <w:lvlJc w:val="left"/>
      <w:pPr>
        <w:tabs>
          <w:tab w:val="num" w:pos="5040"/>
        </w:tabs>
        <w:ind w:left="5040" w:hanging="360"/>
      </w:pPr>
      <w:rPr>
        <w:rFonts w:ascii="Arial" w:hAnsi="Arial" w:hint="default"/>
      </w:rPr>
    </w:lvl>
    <w:lvl w:ilvl="7" w:tplc="46521BF0" w:tentative="1">
      <w:start w:val="1"/>
      <w:numFmt w:val="bullet"/>
      <w:lvlText w:val="•"/>
      <w:lvlJc w:val="left"/>
      <w:pPr>
        <w:tabs>
          <w:tab w:val="num" w:pos="5760"/>
        </w:tabs>
        <w:ind w:left="5760" w:hanging="360"/>
      </w:pPr>
      <w:rPr>
        <w:rFonts w:ascii="Arial" w:hAnsi="Arial" w:hint="default"/>
      </w:rPr>
    </w:lvl>
    <w:lvl w:ilvl="8" w:tplc="06FA1C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8515FC"/>
    <w:multiLevelType w:val="hybridMultilevel"/>
    <w:tmpl w:val="860E6738"/>
    <w:lvl w:ilvl="0" w:tplc="800CD7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490E1C"/>
    <w:multiLevelType w:val="hybridMultilevel"/>
    <w:tmpl w:val="3756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458FE"/>
    <w:multiLevelType w:val="hybridMultilevel"/>
    <w:tmpl w:val="AA062BE4"/>
    <w:lvl w:ilvl="0" w:tplc="4950CF24">
      <w:start w:val="1"/>
      <w:numFmt w:val="bullet"/>
      <w:lvlText w:val="•"/>
      <w:lvlJc w:val="left"/>
      <w:pPr>
        <w:tabs>
          <w:tab w:val="num" w:pos="720"/>
        </w:tabs>
        <w:ind w:left="720" w:hanging="360"/>
      </w:pPr>
      <w:rPr>
        <w:rFonts w:ascii="Arial" w:hAnsi="Arial" w:hint="default"/>
      </w:rPr>
    </w:lvl>
    <w:lvl w:ilvl="1" w:tplc="33989BA8" w:tentative="1">
      <w:start w:val="1"/>
      <w:numFmt w:val="bullet"/>
      <w:lvlText w:val="•"/>
      <w:lvlJc w:val="left"/>
      <w:pPr>
        <w:tabs>
          <w:tab w:val="num" w:pos="1440"/>
        </w:tabs>
        <w:ind w:left="1440" w:hanging="360"/>
      </w:pPr>
      <w:rPr>
        <w:rFonts w:ascii="Arial" w:hAnsi="Arial" w:hint="default"/>
      </w:rPr>
    </w:lvl>
    <w:lvl w:ilvl="2" w:tplc="0DA02CDC" w:tentative="1">
      <w:start w:val="1"/>
      <w:numFmt w:val="bullet"/>
      <w:lvlText w:val="•"/>
      <w:lvlJc w:val="left"/>
      <w:pPr>
        <w:tabs>
          <w:tab w:val="num" w:pos="2160"/>
        </w:tabs>
        <w:ind w:left="2160" w:hanging="360"/>
      </w:pPr>
      <w:rPr>
        <w:rFonts w:ascii="Arial" w:hAnsi="Arial" w:hint="default"/>
      </w:rPr>
    </w:lvl>
    <w:lvl w:ilvl="3" w:tplc="73B08E14" w:tentative="1">
      <w:start w:val="1"/>
      <w:numFmt w:val="bullet"/>
      <w:lvlText w:val="•"/>
      <w:lvlJc w:val="left"/>
      <w:pPr>
        <w:tabs>
          <w:tab w:val="num" w:pos="2880"/>
        </w:tabs>
        <w:ind w:left="2880" w:hanging="360"/>
      </w:pPr>
      <w:rPr>
        <w:rFonts w:ascii="Arial" w:hAnsi="Arial" w:hint="default"/>
      </w:rPr>
    </w:lvl>
    <w:lvl w:ilvl="4" w:tplc="0C9048D4" w:tentative="1">
      <w:start w:val="1"/>
      <w:numFmt w:val="bullet"/>
      <w:lvlText w:val="•"/>
      <w:lvlJc w:val="left"/>
      <w:pPr>
        <w:tabs>
          <w:tab w:val="num" w:pos="3600"/>
        </w:tabs>
        <w:ind w:left="3600" w:hanging="360"/>
      </w:pPr>
      <w:rPr>
        <w:rFonts w:ascii="Arial" w:hAnsi="Arial" w:hint="default"/>
      </w:rPr>
    </w:lvl>
    <w:lvl w:ilvl="5" w:tplc="68C01CFE" w:tentative="1">
      <w:start w:val="1"/>
      <w:numFmt w:val="bullet"/>
      <w:lvlText w:val="•"/>
      <w:lvlJc w:val="left"/>
      <w:pPr>
        <w:tabs>
          <w:tab w:val="num" w:pos="4320"/>
        </w:tabs>
        <w:ind w:left="4320" w:hanging="360"/>
      </w:pPr>
      <w:rPr>
        <w:rFonts w:ascii="Arial" w:hAnsi="Arial" w:hint="default"/>
      </w:rPr>
    </w:lvl>
    <w:lvl w:ilvl="6" w:tplc="C3CAA304" w:tentative="1">
      <w:start w:val="1"/>
      <w:numFmt w:val="bullet"/>
      <w:lvlText w:val="•"/>
      <w:lvlJc w:val="left"/>
      <w:pPr>
        <w:tabs>
          <w:tab w:val="num" w:pos="5040"/>
        </w:tabs>
        <w:ind w:left="5040" w:hanging="360"/>
      </w:pPr>
      <w:rPr>
        <w:rFonts w:ascii="Arial" w:hAnsi="Arial" w:hint="default"/>
      </w:rPr>
    </w:lvl>
    <w:lvl w:ilvl="7" w:tplc="62EC5BE2" w:tentative="1">
      <w:start w:val="1"/>
      <w:numFmt w:val="bullet"/>
      <w:lvlText w:val="•"/>
      <w:lvlJc w:val="left"/>
      <w:pPr>
        <w:tabs>
          <w:tab w:val="num" w:pos="5760"/>
        </w:tabs>
        <w:ind w:left="5760" w:hanging="360"/>
      </w:pPr>
      <w:rPr>
        <w:rFonts w:ascii="Arial" w:hAnsi="Arial" w:hint="default"/>
      </w:rPr>
    </w:lvl>
    <w:lvl w:ilvl="8" w:tplc="670C8F9E"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44"/>
    <w:rsid w:val="000028DD"/>
    <w:rsid w:val="000200E5"/>
    <w:rsid w:val="00042AC4"/>
    <w:rsid w:val="00095CF2"/>
    <w:rsid w:val="000A4CFD"/>
    <w:rsid w:val="000F734B"/>
    <w:rsid w:val="001076C4"/>
    <w:rsid w:val="00107CF5"/>
    <w:rsid w:val="00131D60"/>
    <w:rsid w:val="001E6E63"/>
    <w:rsid w:val="00225021"/>
    <w:rsid w:val="00272B11"/>
    <w:rsid w:val="00284A49"/>
    <w:rsid w:val="00291E1E"/>
    <w:rsid w:val="002A276A"/>
    <w:rsid w:val="002E0F4B"/>
    <w:rsid w:val="003059F9"/>
    <w:rsid w:val="00373DCC"/>
    <w:rsid w:val="00393F80"/>
    <w:rsid w:val="003D7644"/>
    <w:rsid w:val="0045398C"/>
    <w:rsid w:val="004A685F"/>
    <w:rsid w:val="004A70F0"/>
    <w:rsid w:val="00503520"/>
    <w:rsid w:val="00515768"/>
    <w:rsid w:val="00564A86"/>
    <w:rsid w:val="005864DB"/>
    <w:rsid w:val="005F165B"/>
    <w:rsid w:val="00606799"/>
    <w:rsid w:val="00627C44"/>
    <w:rsid w:val="0065148C"/>
    <w:rsid w:val="00741535"/>
    <w:rsid w:val="00772E76"/>
    <w:rsid w:val="007A49EC"/>
    <w:rsid w:val="00817DCC"/>
    <w:rsid w:val="00840B7A"/>
    <w:rsid w:val="00893F26"/>
    <w:rsid w:val="009046D2"/>
    <w:rsid w:val="0090608F"/>
    <w:rsid w:val="00974D7E"/>
    <w:rsid w:val="009C1A29"/>
    <w:rsid w:val="00A20782"/>
    <w:rsid w:val="00A631BF"/>
    <w:rsid w:val="00A643D6"/>
    <w:rsid w:val="00A84729"/>
    <w:rsid w:val="00AC5BA6"/>
    <w:rsid w:val="00AE7AD0"/>
    <w:rsid w:val="00B4353B"/>
    <w:rsid w:val="00B50668"/>
    <w:rsid w:val="00B5081F"/>
    <w:rsid w:val="00BA76D3"/>
    <w:rsid w:val="00BB4A91"/>
    <w:rsid w:val="00BD64A6"/>
    <w:rsid w:val="00C27E6E"/>
    <w:rsid w:val="00C55A1A"/>
    <w:rsid w:val="00D03132"/>
    <w:rsid w:val="00D04EFA"/>
    <w:rsid w:val="00D422B7"/>
    <w:rsid w:val="00EB6304"/>
    <w:rsid w:val="00EF0586"/>
    <w:rsid w:val="00F22C8C"/>
    <w:rsid w:val="00F42298"/>
    <w:rsid w:val="00F75F53"/>
    <w:rsid w:val="00FA1581"/>
    <w:rsid w:val="00FC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41FCD"/>
  <w15:chartTrackingRefBased/>
  <w15:docId w15:val="{1DD21EA5-51E5-4499-AC89-20DA5952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44"/>
  </w:style>
  <w:style w:type="paragraph" w:styleId="Footer">
    <w:name w:val="footer"/>
    <w:basedOn w:val="Normal"/>
    <w:link w:val="FooterChar"/>
    <w:uiPriority w:val="99"/>
    <w:unhideWhenUsed/>
    <w:rsid w:val="00627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44"/>
  </w:style>
  <w:style w:type="paragraph" w:styleId="ListParagraph">
    <w:name w:val="List Paragraph"/>
    <w:basedOn w:val="Normal"/>
    <w:uiPriority w:val="34"/>
    <w:qFormat/>
    <w:rsid w:val="00373DCC"/>
    <w:pPr>
      <w:ind w:left="720"/>
      <w:contextualSpacing/>
    </w:pPr>
    <w:rPr>
      <w:rFonts w:ascii="Verdana" w:hAnsi="Verdana" w:cstheme="minorBidi"/>
      <w:szCs w:val="22"/>
    </w:rPr>
  </w:style>
  <w:style w:type="paragraph" w:styleId="BalloonText">
    <w:name w:val="Balloon Text"/>
    <w:basedOn w:val="Normal"/>
    <w:link w:val="BalloonTextChar"/>
    <w:uiPriority w:val="99"/>
    <w:semiHidden/>
    <w:unhideWhenUsed/>
    <w:rsid w:val="002E0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4B"/>
    <w:rPr>
      <w:rFonts w:ascii="Segoe UI" w:hAnsi="Segoe UI" w:cs="Segoe UI"/>
      <w:sz w:val="18"/>
      <w:szCs w:val="18"/>
    </w:rPr>
  </w:style>
  <w:style w:type="character" w:styleId="CommentReference">
    <w:name w:val="annotation reference"/>
    <w:basedOn w:val="DefaultParagraphFont"/>
    <w:uiPriority w:val="99"/>
    <w:semiHidden/>
    <w:unhideWhenUsed/>
    <w:rsid w:val="009046D2"/>
    <w:rPr>
      <w:sz w:val="16"/>
      <w:szCs w:val="16"/>
    </w:rPr>
  </w:style>
  <w:style w:type="paragraph" w:styleId="CommentText">
    <w:name w:val="annotation text"/>
    <w:basedOn w:val="Normal"/>
    <w:link w:val="CommentTextChar"/>
    <w:uiPriority w:val="99"/>
    <w:semiHidden/>
    <w:unhideWhenUsed/>
    <w:rsid w:val="009046D2"/>
    <w:pPr>
      <w:spacing w:line="240" w:lineRule="auto"/>
    </w:pPr>
    <w:rPr>
      <w:sz w:val="20"/>
      <w:szCs w:val="20"/>
    </w:rPr>
  </w:style>
  <w:style w:type="character" w:customStyle="1" w:styleId="CommentTextChar">
    <w:name w:val="Comment Text Char"/>
    <w:basedOn w:val="DefaultParagraphFont"/>
    <w:link w:val="CommentText"/>
    <w:uiPriority w:val="99"/>
    <w:semiHidden/>
    <w:rsid w:val="009046D2"/>
    <w:rPr>
      <w:sz w:val="20"/>
      <w:szCs w:val="20"/>
    </w:rPr>
  </w:style>
  <w:style w:type="paragraph" w:styleId="CommentSubject">
    <w:name w:val="annotation subject"/>
    <w:basedOn w:val="CommentText"/>
    <w:next w:val="CommentText"/>
    <w:link w:val="CommentSubjectChar"/>
    <w:uiPriority w:val="99"/>
    <w:semiHidden/>
    <w:unhideWhenUsed/>
    <w:rsid w:val="009046D2"/>
    <w:rPr>
      <w:b/>
      <w:bCs/>
    </w:rPr>
  </w:style>
  <w:style w:type="character" w:customStyle="1" w:styleId="CommentSubjectChar">
    <w:name w:val="Comment Subject Char"/>
    <w:basedOn w:val="CommentTextChar"/>
    <w:link w:val="CommentSubject"/>
    <w:uiPriority w:val="99"/>
    <w:semiHidden/>
    <w:rsid w:val="009046D2"/>
    <w:rPr>
      <w:b/>
      <w:bCs/>
      <w:sz w:val="20"/>
      <w:szCs w:val="20"/>
    </w:rPr>
  </w:style>
  <w:style w:type="character" w:styleId="Hyperlink">
    <w:name w:val="Hyperlink"/>
    <w:basedOn w:val="DefaultParagraphFont"/>
    <w:uiPriority w:val="99"/>
    <w:unhideWhenUsed/>
    <w:rsid w:val="0065148C"/>
    <w:rPr>
      <w:color w:val="0563C1" w:themeColor="hyperlink"/>
      <w:u w:val="single"/>
    </w:rPr>
  </w:style>
  <w:style w:type="character" w:styleId="FollowedHyperlink">
    <w:name w:val="FollowedHyperlink"/>
    <w:basedOn w:val="DefaultParagraphFont"/>
    <w:uiPriority w:val="99"/>
    <w:semiHidden/>
    <w:unhideWhenUsed/>
    <w:rsid w:val="00515768"/>
    <w:rPr>
      <w:color w:val="954F72" w:themeColor="followedHyperlink"/>
      <w:u w:val="single"/>
    </w:rPr>
  </w:style>
  <w:style w:type="character" w:styleId="Emphasis">
    <w:name w:val="Emphasis"/>
    <w:basedOn w:val="DefaultParagraphFont"/>
    <w:uiPriority w:val="20"/>
    <w:qFormat/>
    <w:rsid w:val="000A4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2799">
      <w:bodyDiv w:val="1"/>
      <w:marLeft w:val="0"/>
      <w:marRight w:val="0"/>
      <w:marTop w:val="0"/>
      <w:marBottom w:val="0"/>
      <w:divBdr>
        <w:top w:val="none" w:sz="0" w:space="0" w:color="auto"/>
        <w:left w:val="none" w:sz="0" w:space="0" w:color="auto"/>
        <w:bottom w:val="none" w:sz="0" w:space="0" w:color="auto"/>
        <w:right w:val="none" w:sz="0" w:space="0" w:color="auto"/>
      </w:divBdr>
    </w:div>
    <w:div w:id="746466219">
      <w:bodyDiv w:val="1"/>
      <w:marLeft w:val="0"/>
      <w:marRight w:val="0"/>
      <w:marTop w:val="0"/>
      <w:marBottom w:val="0"/>
      <w:divBdr>
        <w:top w:val="none" w:sz="0" w:space="0" w:color="auto"/>
        <w:left w:val="none" w:sz="0" w:space="0" w:color="auto"/>
        <w:bottom w:val="none" w:sz="0" w:space="0" w:color="auto"/>
        <w:right w:val="none" w:sz="0" w:space="0" w:color="auto"/>
      </w:divBdr>
    </w:div>
    <w:div w:id="1182085547">
      <w:bodyDiv w:val="1"/>
      <w:marLeft w:val="0"/>
      <w:marRight w:val="0"/>
      <w:marTop w:val="0"/>
      <w:marBottom w:val="0"/>
      <w:divBdr>
        <w:top w:val="none" w:sz="0" w:space="0" w:color="auto"/>
        <w:left w:val="none" w:sz="0" w:space="0" w:color="auto"/>
        <w:bottom w:val="none" w:sz="0" w:space="0" w:color="auto"/>
        <w:right w:val="none" w:sz="0" w:space="0" w:color="auto"/>
      </w:divBdr>
      <w:divsChild>
        <w:div w:id="144052152">
          <w:marLeft w:val="360"/>
          <w:marRight w:val="0"/>
          <w:marTop w:val="0"/>
          <w:marBottom w:val="0"/>
          <w:divBdr>
            <w:top w:val="none" w:sz="0" w:space="0" w:color="auto"/>
            <w:left w:val="none" w:sz="0" w:space="0" w:color="auto"/>
            <w:bottom w:val="none" w:sz="0" w:space="0" w:color="auto"/>
            <w:right w:val="none" w:sz="0" w:space="0" w:color="auto"/>
          </w:divBdr>
        </w:div>
        <w:div w:id="1292327102">
          <w:marLeft w:val="360"/>
          <w:marRight w:val="0"/>
          <w:marTop w:val="0"/>
          <w:marBottom w:val="0"/>
          <w:divBdr>
            <w:top w:val="none" w:sz="0" w:space="0" w:color="auto"/>
            <w:left w:val="none" w:sz="0" w:space="0" w:color="auto"/>
            <w:bottom w:val="none" w:sz="0" w:space="0" w:color="auto"/>
            <w:right w:val="none" w:sz="0" w:space="0" w:color="auto"/>
          </w:divBdr>
        </w:div>
        <w:div w:id="912396955">
          <w:marLeft w:val="360"/>
          <w:marRight w:val="0"/>
          <w:marTop w:val="0"/>
          <w:marBottom w:val="0"/>
          <w:divBdr>
            <w:top w:val="none" w:sz="0" w:space="0" w:color="auto"/>
            <w:left w:val="none" w:sz="0" w:space="0" w:color="auto"/>
            <w:bottom w:val="none" w:sz="0" w:space="0" w:color="auto"/>
            <w:right w:val="none" w:sz="0" w:space="0" w:color="auto"/>
          </w:divBdr>
        </w:div>
        <w:div w:id="70929297">
          <w:marLeft w:val="360"/>
          <w:marRight w:val="0"/>
          <w:marTop w:val="0"/>
          <w:marBottom w:val="0"/>
          <w:divBdr>
            <w:top w:val="none" w:sz="0" w:space="0" w:color="auto"/>
            <w:left w:val="none" w:sz="0" w:space="0" w:color="auto"/>
            <w:bottom w:val="none" w:sz="0" w:space="0" w:color="auto"/>
            <w:right w:val="none" w:sz="0" w:space="0" w:color="auto"/>
          </w:divBdr>
        </w:div>
        <w:div w:id="1902980799">
          <w:marLeft w:val="360"/>
          <w:marRight w:val="0"/>
          <w:marTop w:val="0"/>
          <w:marBottom w:val="0"/>
          <w:divBdr>
            <w:top w:val="none" w:sz="0" w:space="0" w:color="auto"/>
            <w:left w:val="none" w:sz="0" w:space="0" w:color="auto"/>
            <w:bottom w:val="none" w:sz="0" w:space="0" w:color="auto"/>
            <w:right w:val="none" w:sz="0" w:space="0" w:color="auto"/>
          </w:divBdr>
        </w:div>
        <w:div w:id="33698832">
          <w:marLeft w:val="360"/>
          <w:marRight w:val="0"/>
          <w:marTop w:val="0"/>
          <w:marBottom w:val="0"/>
          <w:divBdr>
            <w:top w:val="none" w:sz="0" w:space="0" w:color="auto"/>
            <w:left w:val="none" w:sz="0" w:space="0" w:color="auto"/>
            <w:bottom w:val="none" w:sz="0" w:space="0" w:color="auto"/>
            <w:right w:val="none" w:sz="0" w:space="0" w:color="auto"/>
          </w:divBdr>
        </w:div>
        <w:div w:id="460267547">
          <w:marLeft w:val="360"/>
          <w:marRight w:val="0"/>
          <w:marTop w:val="0"/>
          <w:marBottom w:val="0"/>
          <w:divBdr>
            <w:top w:val="none" w:sz="0" w:space="0" w:color="auto"/>
            <w:left w:val="none" w:sz="0" w:space="0" w:color="auto"/>
            <w:bottom w:val="none" w:sz="0" w:space="0" w:color="auto"/>
            <w:right w:val="none" w:sz="0" w:space="0" w:color="auto"/>
          </w:divBdr>
        </w:div>
        <w:div w:id="931820320">
          <w:marLeft w:val="360"/>
          <w:marRight w:val="0"/>
          <w:marTop w:val="0"/>
          <w:marBottom w:val="0"/>
          <w:divBdr>
            <w:top w:val="none" w:sz="0" w:space="0" w:color="auto"/>
            <w:left w:val="none" w:sz="0" w:space="0" w:color="auto"/>
            <w:bottom w:val="none" w:sz="0" w:space="0" w:color="auto"/>
            <w:right w:val="none" w:sz="0" w:space="0" w:color="auto"/>
          </w:divBdr>
        </w:div>
      </w:divsChild>
    </w:div>
    <w:div w:id="1347175566">
      <w:bodyDiv w:val="1"/>
      <w:marLeft w:val="0"/>
      <w:marRight w:val="0"/>
      <w:marTop w:val="0"/>
      <w:marBottom w:val="0"/>
      <w:divBdr>
        <w:top w:val="none" w:sz="0" w:space="0" w:color="auto"/>
        <w:left w:val="none" w:sz="0" w:space="0" w:color="auto"/>
        <w:bottom w:val="none" w:sz="0" w:space="0" w:color="auto"/>
        <w:right w:val="none" w:sz="0" w:space="0" w:color="auto"/>
      </w:divBdr>
      <w:divsChild>
        <w:div w:id="1022979457">
          <w:marLeft w:val="360"/>
          <w:marRight w:val="0"/>
          <w:marTop w:val="0"/>
          <w:marBottom w:val="0"/>
          <w:divBdr>
            <w:top w:val="none" w:sz="0" w:space="0" w:color="auto"/>
            <w:left w:val="none" w:sz="0" w:space="0" w:color="auto"/>
            <w:bottom w:val="none" w:sz="0" w:space="0" w:color="auto"/>
            <w:right w:val="none" w:sz="0" w:space="0" w:color="auto"/>
          </w:divBdr>
        </w:div>
        <w:div w:id="863515226">
          <w:marLeft w:val="360"/>
          <w:marRight w:val="0"/>
          <w:marTop w:val="0"/>
          <w:marBottom w:val="0"/>
          <w:divBdr>
            <w:top w:val="none" w:sz="0" w:space="0" w:color="auto"/>
            <w:left w:val="none" w:sz="0" w:space="0" w:color="auto"/>
            <w:bottom w:val="none" w:sz="0" w:space="0" w:color="auto"/>
            <w:right w:val="none" w:sz="0" w:space="0" w:color="auto"/>
          </w:divBdr>
        </w:div>
        <w:div w:id="1204902950">
          <w:marLeft w:val="360"/>
          <w:marRight w:val="0"/>
          <w:marTop w:val="0"/>
          <w:marBottom w:val="0"/>
          <w:divBdr>
            <w:top w:val="none" w:sz="0" w:space="0" w:color="auto"/>
            <w:left w:val="none" w:sz="0" w:space="0" w:color="auto"/>
            <w:bottom w:val="none" w:sz="0" w:space="0" w:color="auto"/>
            <w:right w:val="none" w:sz="0" w:space="0" w:color="auto"/>
          </w:divBdr>
        </w:div>
        <w:div w:id="1776902888">
          <w:marLeft w:val="360"/>
          <w:marRight w:val="0"/>
          <w:marTop w:val="0"/>
          <w:marBottom w:val="0"/>
          <w:divBdr>
            <w:top w:val="none" w:sz="0" w:space="0" w:color="auto"/>
            <w:left w:val="none" w:sz="0" w:space="0" w:color="auto"/>
            <w:bottom w:val="none" w:sz="0" w:space="0" w:color="auto"/>
            <w:right w:val="none" w:sz="0" w:space="0" w:color="auto"/>
          </w:divBdr>
        </w:div>
        <w:div w:id="1853640935">
          <w:marLeft w:val="360"/>
          <w:marRight w:val="0"/>
          <w:marTop w:val="0"/>
          <w:marBottom w:val="0"/>
          <w:divBdr>
            <w:top w:val="none" w:sz="0" w:space="0" w:color="auto"/>
            <w:left w:val="none" w:sz="0" w:space="0" w:color="auto"/>
            <w:bottom w:val="none" w:sz="0" w:space="0" w:color="auto"/>
            <w:right w:val="none" w:sz="0" w:space="0" w:color="auto"/>
          </w:divBdr>
        </w:div>
        <w:div w:id="335230931">
          <w:marLeft w:val="360"/>
          <w:marRight w:val="0"/>
          <w:marTop w:val="0"/>
          <w:marBottom w:val="0"/>
          <w:divBdr>
            <w:top w:val="none" w:sz="0" w:space="0" w:color="auto"/>
            <w:left w:val="none" w:sz="0" w:space="0" w:color="auto"/>
            <w:bottom w:val="none" w:sz="0" w:space="0" w:color="auto"/>
            <w:right w:val="none" w:sz="0" w:space="0" w:color="auto"/>
          </w:divBdr>
        </w:div>
        <w:div w:id="1607689422">
          <w:marLeft w:val="360"/>
          <w:marRight w:val="0"/>
          <w:marTop w:val="0"/>
          <w:marBottom w:val="0"/>
          <w:divBdr>
            <w:top w:val="none" w:sz="0" w:space="0" w:color="auto"/>
            <w:left w:val="none" w:sz="0" w:space="0" w:color="auto"/>
            <w:bottom w:val="none" w:sz="0" w:space="0" w:color="auto"/>
            <w:right w:val="none" w:sz="0" w:space="0" w:color="auto"/>
          </w:divBdr>
        </w:div>
        <w:div w:id="2053462014">
          <w:marLeft w:val="360"/>
          <w:marRight w:val="0"/>
          <w:marTop w:val="0"/>
          <w:marBottom w:val="0"/>
          <w:divBdr>
            <w:top w:val="none" w:sz="0" w:space="0" w:color="auto"/>
            <w:left w:val="none" w:sz="0" w:space="0" w:color="auto"/>
            <w:bottom w:val="none" w:sz="0" w:space="0" w:color="auto"/>
            <w:right w:val="none" w:sz="0" w:space="0" w:color="auto"/>
          </w:divBdr>
        </w:div>
      </w:divsChild>
    </w:div>
    <w:div w:id="1448625868">
      <w:bodyDiv w:val="1"/>
      <w:marLeft w:val="0"/>
      <w:marRight w:val="0"/>
      <w:marTop w:val="0"/>
      <w:marBottom w:val="0"/>
      <w:divBdr>
        <w:top w:val="none" w:sz="0" w:space="0" w:color="auto"/>
        <w:left w:val="none" w:sz="0" w:space="0" w:color="auto"/>
        <w:bottom w:val="none" w:sz="0" w:space="0" w:color="auto"/>
        <w:right w:val="none" w:sz="0" w:space="0" w:color="auto"/>
      </w:divBdr>
    </w:div>
    <w:div w:id="1707413723">
      <w:bodyDiv w:val="1"/>
      <w:marLeft w:val="0"/>
      <w:marRight w:val="0"/>
      <w:marTop w:val="0"/>
      <w:marBottom w:val="0"/>
      <w:divBdr>
        <w:top w:val="none" w:sz="0" w:space="0" w:color="auto"/>
        <w:left w:val="none" w:sz="0" w:space="0" w:color="auto"/>
        <w:bottom w:val="none" w:sz="0" w:space="0" w:color="auto"/>
        <w:right w:val="none" w:sz="0" w:space="0" w:color="auto"/>
      </w:divBdr>
      <w:divsChild>
        <w:div w:id="212153684">
          <w:marLeft w:val="360"/>
          <w:marRight w:val="0"/>
          <w:marTop w:val="0"/>
          <w:marBottom w:val="0"/>
          <w:divBdr>
            <w:top w:val="none" w:sz="0" w:space="0" w:color="auto"/>
            <w:left w:val="none" w:sz="0" w:space="0" w:color="auto"/>
            <w:bottom w:val="none" w:sz="0" w:space="0" w:color="auto"/>
            <w:right w:val="none" w:sz="0" w:space="0" w:color="auto"/>
          </w:divBdr>
        </w:div>
        <w:div w:id="2013796899">
          <w:marLeft w:val="360"/>
          <w:marRight w:val="0"/>
          <w:marTop w:val="0"/>
          <w:marBottom w:val="0"/>
          <w:divBdr>
            <w:top w:val="none" w:sz="0" w:space="0" w:color="auto"/>
            <w:left w:val="none" w:sz="0" w:space="0" w:color="auto"/>
            <w:bottom w:val="none" w:sz="0" w:space="0" w:color="auto"/>
            <w:right w:val="none" w:sz="0" w:space="0" w:color="auto"/>
          </w:divBdr>
        </w:div>
        <w:div w:id="1971979248">
          <w:marLeft w:val="360"/>
          <w:marRight w:val="0"/>
          <w:marTop w:val="0"/>
          <w:marBottom w:val="0"/>
          <w:divBdr>
            <w:top w:val="none" w:sz="0" w:space="0" w:color="auto"/>
            <w:left w:val="none" w:sz="0" w:space="0" w:color="auto"/>
            <w:bottom w:val="none" w:sz="0" w:space="0" w:color="auto"/>
            <w:right w:val="none" w:sz="0" w:space="0" w:color="auto"/>
          </w:divBdr>
        </w:div>
        <w:div w:id="768504471">
          <w:marLeft w:val="360"/>
          <w:marRight w:val="0"/>
          <w:marTop w:val="0"/>
          <w:marBottom w:val="0"/>
          <w:divBdr>
            <w:top w:val="none" w:sz="0" w:space="0" w:color="auto"/>
            <w:left w:val="none" w:sz="0" w:space="0" w:color="auto"/>
            <w:bottom w:val="none" w:sz="0" w:space="0" w:color="auto"/>
            <w:right w:val="none" w:sz="0" w:space="0" w:color="auto"/>
          </w:divBdr>
        </w:div>
        <w:div w:id="1511215321">
          <w:marLeft w:val="360"/>
          <w:marRight w:val="0"/>
          <w:marTop w:val="0"/>
          <w:marBottom w:val="0"/>
          <w:divBdr>
            <w:top w:val="none" w:sz="0" w:space="0" w:color="auto"/>
            <w:left w:val="none" w:sz="0" w:space="0" w:color="auto"/>
            <w:bottom w:val="none" w:sz="0" w:space="0" w:color="auto"/>
            <w:right w:val="none" w:sz="0" w:space="0" w:color="auto"/>
          </w:divBdr>
        </w:div>
        <w:div w:id="732851670">
          <w:marLeft w:val="360"/>
          <w:marRight w:val="0"/>
          <w:marTop w:val="0"/>
          <w:marBottom w:val="0"/>
          <w:divBdr>
            <w:top w:val="none" w:sz="0" w:space="0" w:color="auto"/>
            <w:left w:val="none" w:sz="0" w:space="0" w:color="auto"/>
            <w:bottom w:val="none" w:sz="0" w:space="0" w:color="auto"/>
            <w:right w:val="none" w:sz="0" w:space="0" w:color="auto"/>
          </w:divBdr>
        </w:div>
        <w:div w:id="1949651962">
          <w:marLeft w:val="360"/>
          <w:marRight w:val="0"/>
          <w:marTop w:val="0"/>
          <w:marBottom w:val="0"/>
          <w:divBdr>
            <w:top w:val="none" w:sz="0" w:space="0" w:color="auto"/>
            <w:left w:val="none" w:sz="0" w:space="0" w:color="auto"/>
            <w:bottom w:val="none" w:sz="0" w:space="0" w:color="auto"/>
            <w:right w:val="none" w:sz="0" w:space="0" w:color="auto"/>
          </w:divBdr>
        </w:div>
        <w:div w:id="924724490">
          <w:marLeft w:val="360"/>
          <w:marRight w:val="0"/>
          <w:marTop w:val="0"/>
          <w:marBottom w:val="0"/>
          <w:divBdr>
            <w:top w:val="none" w:sz="0" w:space="0" w:color="auto"/>
            <w:left w:val="none" w:sz="0" w:space="0" w:color="auto"/>
            <w:bottom w:val="none" w:sz="0" w:space="0" w:color="auto"/>
            <w:right w:val="none" w:sz="0" w:space="0" w:color="auto"/>
          </w:divBdr>
        </w:div>
        <w:div w:id="147483408">
          <w:marLeft w:val="360"/>
          <w:marRight w:val="0"/>
          <w:marTop w:val="0"/>
          <w:marBottom w:val="0"/>
          <w:divBdr>
            <w:top w:val="none" w:sz="0" w:space="0" w:color="auto"/>
            <w:left w:val="none" w:sz="0" w:space="0" w:color="auto"/>
            <w:bottom w:val="none" w:sz="0" w:space="0" w:color="auto"/>
            <w:right w:val="none" w:sz="0" w:space="0" w:color="auto"/>
          </w:divBdr>
        </w:div>
      </w:divsChild>
    </w:div>
    <w:div w:id="1926648650">
      <w:bodyDiv w:val="1"/>
      <w:marLeft w:val="0"/>
      <w:marRight w:val="0"/>
      <w:marTop w:val="0"/>
      <w:marBottom w:val="0"/>
      <w:divBdr>
        <w:top w:val="none" w:sz="0" w:space="0" w:color="auto"/>
        <w:left w:val="none" w:sz="0" w:space="0" w:color="auto"/>
        <w:bottom w:val="none" w:sz="0" w:space="0" w:color="auto"/>
        <w:right w:val="none" w:sz="0" w:space="0" w:color="auto"/>
      </w:divBdr>
      <w:divsChild>
        <w:div w:id="1407414326">
          <w:marLeft w:val="360"/>
          <w:marRight w:val="0"/>
          <w:marTop w:val="0"/>
          <w:marBottom w:val="0"/>
          <w:divBdr>
            <w:top w:val="none" w:sz="0" w:space="0" w:color="auto"/>
            <w:left w:val="none" w:sz="0" w:space="0" w:color="auto"/>
            <w:bottom w:val="none" w:sz="0" w:space="0" w:color="auto"/>
            <w:right w:val="none" w:sz="0" w:space="0" w:color="auto"/>
          </w:divBdr>
        </w:div>
        <w:div w:id="781724579">
          <w:marLeft w:val="360"/>
          <w:marRight w:val="0"/>
          <w:marTop w:val="0"/>
          <w:marBottom w:val="0"/>
          <w:divBdr>
            <w:top w:val="none" w:sz="0" w:space="0" w:color="auto"/>
            <w:left w:val="none" w:sz="0" w:space="0" w:color="auto"/>
            <w:bottom w:val="none" w:sz="0" w:space="0" w:color="auto"/>
            <w:right w:val="none" w:sz="0" w:space="0" w:color="auto"/>
          </w:divBdr>
        </w:div>
        <w:div w:id="1760907473">
          <w:marLeft w:val="360"/>
          <w:marRight w:val="0"/>
          <w:marTop w:val="0"/>
          <w:marBottom w:val="0"/>
          <w:divBdr>
            <w:top w:val="none" w:sz="0" w:space="0" w:color="auto"/>
            <w:left w:val="none" w:sz="0" w:space="0" w:color="auto"/>
            <w:bottom w:val="none" w:sz="0" w:space="0" w:color="auto"/>
            <w:right w:val="none" w:sz="0" w:space="0" w:color="auto"/>
          </w:divBdr>
        </w:div>
        <w:div w:id="1323043399">
          <w:marLeft w:val="360"/>
          <w:marRight w:val="0"/>
          <w:marTop w:val="0"/>
          <w:marBottom w:val="0"/>
          <w:divBdr>
            <w:top w:val="none" w:sz="0" w:space="0" w:color="auto"/>
            <w:left w:val="none" w:sz="0" w:space="0" w:color="auto"/>
            <w:bottom w:val="none" w:sz="0" w:space="0" w:color="auto"/>
            <w:right w:val="none" w:sz="0" w:space="0" w:color="auto"/>
          </w:divBdr>
        </w:div>
        <w:div w:id="1874031188">
          <w:marLeft w:val="360"/>
          <w:marRight w:val="0"/>
          <w:marTop w:val="0"/>
          <w:marBottom w:val="0"/>
          <w:divBdr>
            <w:top w:val="none" w:sz="0" w:space="0" w:color="auto"/>
            <w:left w:val="none" w:sz="0" w:space="0" w:color="auto"/>
            <w:bottom w:val="none" w:sz="0" w:space="0" w:color="auto"/>
            <w:right w:val="none" w:sz="0" w:space="0" w:color="auto"/>
          </w:divBdr>
        </w:div>
        <w:div w:id="39558800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acchopreparedness.org/wp-content/uploads/2016/09/16_EH_Emergency-Planning-PPl-w-Disabilities_FactShe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www.ada.gov_nueces-5Fco-5Ftx-5Fpca_nueces-5Fco-5Ftx-5Fsa.html&amp;d=DwMFAw&amp;c=ODFT-G5SujMiGrKuoJJjVg&amp;r=PYZSsVx3vFsoZHwvxOrRfw&amp;m=IkaKNJzxUTK7BX9dwOvRd7wm--2kVemqAGPciS_rOYc&amp;s=aDiBI-ku6zXbuIsxBArWF5BSy5PSgrVUk5vB454wL_4&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ada.gov_galveston-5Ftx-5Fpca_galveston-5Ftx-5Fsa.html&amp;d=DwMFAw&amp;c=ODFT-G5SujMiGrKuoJJjVg&amp;r=PYZSsVx3vFsoZHwvxOrRfw&amp;m=IkaKNJzxUTK7BX9dwOvRd7wm--2kVemqAGPciS_rOYc&amp;s=wVwW3FdFl5LM1U6AecYK9WNWXWj_6noV4yrplvPB-x4&am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s-3A__www.ada.gov_enforce-5Factivities.htm&amp;d=DwMFAw&amp;c=ODFT-G5SujMiGrKuoJJjVg&amp;r=PYZSsVx3vFsoZHwvxOrRfw&amp;m=IkaKNJzxUTK7BX9dwOvRd7wm--2kVemqAGPciS_rOYc&amp;s=o-NDFpXSKB_WcgrV1ubp_J8AdJc5JneBllqDVfI204I&amp;e=" TargetMode="External"/><Relationship Id="rId4" Type="http://schemas.openxmlformats.org/officeDocument/2006/relationships/settings" Target="settings.xml"/><Relationship Id="rId9" Type="http://schemas.openxmlformats.org/officeDocument/2006/relationships/hyperlink" Target="https://www.ada.gov/pcatoolkit/chap7emergencymgm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C3F7-85C6-4CB3-B8D3-DB2DEC62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2413</Words>
  <Characters>13760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Stough, Laura M</dc:creator>
  <cp:keywords/>
  <dc:description/>
  <cp:lastModifiedBy>Gabehart, Martha [GO]</cp:lastModifiedBy>
  <cp:revision>2</cp:revision>
  <cp:lastPrinted>2018-05-07T16:30:00Z</cp:lastPrinted>
  <dcterms:created xsi:type="dcterms:W3CDTF">2019-09-24T17:40:00Z</dcterms:created>
  <dcterms:modified xsi:type="dcterms:W3CDTF">2019-09-24T17:40:00Z</dcterms:modified>
</cp:coreProperties>
</file>